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5396FE">
      <w:pPr>
        <w:pStyle w:val="2"/>
        <w:keepNext w:val="0"/>
        <w:keepLines w:val="0"/>
        <w:widowControl/>
        <w:suppressLineNumbers w:val="0"/>
        <w:shd w:val="clear" w:fill="FFFFFF"/>
        <w:spacing w:line="900" w:lineRule="atLeast"/>
        <w:ind w:left="0" w:firstLine="0"/>
        <w:jc w:val="center"/>
        <w:rPr>
          <w:rFonts w:hint="eastAsia" w:ascii="仿宋_GB2312" w:hAnsi="微软雅黑" w:eastAsia="仿宋_GB2312"/>
          <w:color w:val="4B4B4B"/>
          <w:sz w:val="32"/>
          <w:szCs w:val="32"/>
        </w:rPr>
      </w:pPr>
      <w:r>
        <w:rPr>
          <w:rFonts w:hint="eastAsia" w:ascii="宋体" w:hAnsi="宋体" w:eastAsia="宋体" w:cs="宋体"/>
          <w:b/>
          <w:bCs/>
          <w:i w:val="0"/>
          <w:iCs w:val="0"/>
          <w:caps w:val="0"/>
          <w:color w:val="232323"/>
          <w:spacing w:val="0"/>
          <w:sz w:val="36"/>
          <w:szCs w:val="36"/>
          <w:shd w:val="clear" w:fill="FFFFFF"/>
        </w:rPr>
        <w:t>南昌市2025年上半年中小学教师资格考试（笔试）温馨提示</w:t>
      </w:r>
    </w:p>
    <w:p w14:paraId="49574892">
      <w:pPr>
        <w:pStyle w:val="7"/>
        <w:shd w:val="clear" w:color="auto" w:fill="FFFFFF"/>
        <w:spacing w:before="0" w:beforeAutospacing="0" w:after="0" w:afterAutospacing="0" w:line="369" w:lineRule="atLeast"/>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各位考生：</w:t>
      </w:r>
    </w:p>
    <w:p w14:paraId="766EAB27">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你们好！</w:t>
      </w:r>
    </w:p>
    <w:p w14:paraId="160C81CD">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2025年上半年中小学教师资格考试笔试将于3月8日举行，为使广大考生平安顺利参加考试，温馨提示如下。</w:t>
      </w:r>
    </w:p>
    <w:p w14:paraId="6D9B0092">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一、请及时打印准考证。考生可于3月3日至8日登录</w:t>
      </w:r>
      <w:r>
        <w:rPr>
          <w:rFonts w:hint="eastAsia" w:ascii="仿宋_GB2312" w:hAnsi="微软雅黑" w:eastAsia="仿宋_GB2312"/>
          <w:b/>
          <w:bCs/>
          <w:color w:val="4B4B4B"/>
          <w:sz w:val="32"/>
          <w:szCs w:val="32"/>
        </w:rPr>
        <w:t>“中小学教师资格考试网（http://</w:t>
      </w:r>
      <w:r>
        <w:rPr>
          <w:b/>
          <w:bCs/>
        </w:rPr>
        <w:fldChar w:fldCharType="begin"/>
      </w:r>
      <w:r>
        <w:rPr>
          <w:b/>
          <w:bCs/>
        </w:rPr>
        <w:instrText xml:space="preserve"> HYPERLINK "http://www.ntce.cn/" </w:instrText>
      </w:r>
      <w:r>
        <w:rPr>
          <w:b/>
          <w:bCs/>
        </w:rPr>
        <w:fldChar w:fldCharType="separate"/>
      </w:r>
      <w:r>
        <w:rPr>
          <w:rStyle w:val="11"/>
          <w:rFonts w:hint="eastAsia" w:ascii="仿宋_GB2312" w:hAnsi="微软雅黑" w:eastAsia="仿宋_GB2312"/>
          <w:b/>
          <w:bCs/>
          <w:color w:val="4B4B4B"/>
          <w:sz w:val="32"/>
          <w:szCs w:val="32"/>
        </w:rPr>
        <w:t>ntce.neea.edu.cn</w:t>
      </w:r>
      <w:r>
        <w:rPr>
          <w:rStyle w:val="11"/>
          <w:rFonts w:hint="eastAsia" w:ascii="仿宋_GB2312" w:hAnsi="微软雅黑" w:eastAsia="仿宋_GB2312"/>
          <w:b/>
          <w:bCs/>
          <w:color w:val="4B4B4B"/>
          <w:sz w:val="32"/>
          <w:szCs w:val="32"/>
        </w:rPr>
        <w:fldChar w:fldCharType="end"/>
      </w:r>
      <w:r>
        <w:rPr>
          <w:rFonts w:hint="eastAsia" w:ascii="仿宋_GB2312" w:hAnsi="微软雅黑" w:eastAsia="仿宋_GB2312"/>
          <w:b/>
          <w:bCs/>
          <w:color w:val="4B4B4B"/>
          <w:sz w:val="32"/>
          <w:szCs w:val="32"/>
        </w:rPr>
        <w:t>）”自行下载并打印《准考证》</w:t>
      </w:r>
      <w:r>
        <w:rPr>
          <w:rFonts w:hint="eastAsia" w:ascii="仿宋_GB2312" w:hAnsi="微软雅黑" w:eastAsia="仿宋_GB2312"/>
          <w:color w:val="4B4B4B"/>
          <w:sz w:val="32"/>
          <w:szCs w:val="32"/>
        </w:rPr>
        <w:t>，认真阅读准考证上的“考生须知”“特别提示”等内容，提前做好考前准备。</w:t>
      </w:r>
    </w:p>
    <w:p w14:paraId="3B659A3B">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二、配合做好入场安检。本次考试将使用智能安检门，科目一、科目二开考前50分钟，科目三开考前30分钟，考生应持《准考证》、有效期内的居民身份证/港澳台居民居住证/港澳居民来往内地通行证/台湾居民来往大陆通行证（五年有效期）等进入考点，主动接受考点、考场双安检。</w:t>
      </w:r>
    </w:p>
    <w:p w14:paraId="7618E397">
      <w:pPr>
        <w:pStyle w:val="7"/>
        <w:shd w:val="clear" w:color="auto" w:fill="FFFFFF"/>
        <w:spacing w:before="0" w:beforeAutospacing="0" w:after="0" w:afterAutospacing="0" w:line="369" w:lineRule="atLeast"/>
        <w:ind w:firstLine="480"/>
        <w:rPr>
          <w:rFonts w:hint="eastAsia" w:ascii="仿宋_GB2312" w:hAnsi="微软雅黑" w:eastAsia="仿宋_GB2312"/>
          <w:b/>
          <w:bCs/>
          <w:color w:val="4B4B4B"/>
          <w:sz w:val="32"/>
          <w:szCs w:val="32"/>
        </w:rPr>
      </w:pPr>
      <w:r>
        <w:rPr>
          <w:rFonts w:hint="eastAsia" w:ascii="仿宋_GB2312" w:hAnsi="微软雅黑" w:eastAsia="仿宋_GB2312"/>
          <w:color w:val="4B4B4B"/>
          <w:sz w:val="32"/>
          <w:szCs w:val="32"/>
        </w:rPr>
        <w:t>严禁考生携带各类电子通信工具（如手机、智能手表、耳机等无线接收、传送设备）、电子存储记忆录放设备以及涂改液、修正带等物品进入考点考场。</w:t>
      </w:r>
      <w:r>
        <w:rPr>
          <w:rFonts w:hint="eastAsia" w:ascii="仿宋_GB2312" w:hAnsi="微软雅黑" w:eastAsia="仿宋_GB2312"/>
          <w:b w:val="0"/>
          <w:bCs w:val="0"/>
          <w:color w:val="4B4B4B"/>
          <w:sz w:val="32"/>
          <w:szCs w:val="32"/>
        </w:rPr>
        <w:t>若携带手机等禁带物品，请按考点的统一要求，将手机存放在考点入口集中管理区域指定位置，</w:t>
      </w:r>
      <w:r>
        <w:rPr>
          <w:rFonts w:hint="eastAsia" w:ascii="仿宋_GB2312" w:hAnsi="微软雅黑" w:eastAsia="仿宋_GB2312"/>
          <w:color w:val="4B4B4B"/>
          <w:sz w:val="32"/>
          <w:szCs w:val="32"/>
        </w:rPr>
        <w:t>考试结束后，按考点要求到指定位置领取手机。</w:t>
      </w:r>
      <w:r>
        <w:rPr>
          <w:rFonts w:hint="eastAsia" w:ascii="仿宋_GB2312" w:hAnsi="微软雅黑" w:eastAsia="仿宋_GB2312"/>
          <w:b/>
          <w:bCs/>
          <w:color w:val="4B4B4B"/>
          <w:sz w:val="32"/>
          <w:szCs w:val="32"/>
        </w:rPr>
        <w:t>建议考试当天不带手机，不携带大件行李，不穿戴有金属饰品的衣物，以免影响入场时间，同时参加科目二、科目三的考生，科目二考试结束后在考点指定区域活动，不出智能安检门。</w:t>
      </w:r>
    </w:p>
    <w:p w14:paraId="30FFD5B2">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三、严格遵守考试时间。考试开始和结束时间以考试铃声为准。考试开考15分钟后考生不得进入考场参加考试，考试结束前30分钟，方可交卷离开考场。如遇特殊情况，须经监考教师请示主考同意后方可提前离开考场。考生交卷后不得重返考场，提前离场考生须在考点指定休息区域停留，考试结束后方可离开考点。</w:t>
      </w:r>
    </w:p>
    <w:p w14:paraId="50BED940">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四、按照考试规定作答。考生入场后，按要求填写考生姓名、准考证号、座位号、诚信考试承诺等，仔细核对条形码信息与本人信息是否相符，</w:t>
      </w:r>
      <w:r>
        <w:rPr>
          <w:rFonts w:hint="eastAsia" w:ascii="仿宋_GB2312" w:hAnsi="微软雅黑" w:eastAsia="仿宋_GB2312"/>
          <w:color w:val="4B4B4B"/>
          <w:sz w:val="32"/>
          <w:szCs w:val="32"/>
          <w:lang w:eastAsia="zh-CN"/>
        </w:rPr>
        <w:t>如相符，在相应位置粘贴条形码，</w:t>
      </w:r>
      <w:r>
        <w:rPr>
          <w:rFonts w:hint="eastAsia" w:ascii="仿宋_GB2312" w:hAnsi="微软雅黑" w:eastAsia="仿宋_GB2312"/>
          <w:color w:val="4B4B4B"/>
          <w:sz w:val="32"/>
          <w:szCs w:val="32"/>
        </w:rPr>
        <w:t>如不相符，及时向本场监考老师反馈。在答题卡答题区域内作答，错答区域或超出规定区域的作答内容无效。书写时字迹要工整清晰，保持答题卡面的清洁，不得折叠、损毁，不得做任何标记。考试结束后，考生不得将试卷、答题卡、草稿纸带出或传出考场，按照监考教师指令依次安全离场。</w:t>
      </w:r>
    </w:p>
    <w:p w14:paraId="56FDCA8A">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u w:val="single"/>
        </w:rPr>
      </w:pPr>
      <w:r>
        <w:rPr>
          <w:rFonts w:hint="eastAsia" w:ascii="仿宋_GB2312" w:hAnsi="微软雅黑" w:eastAsia="仿宋_GB2312"/>
          <w:color w:val="4B4B4B"/>
          <w:sz w:val="32"/>
          <w:szCs w:val="32"/>
        </w:rPr>
        <w:t>五、做到诚信参加考试。认真学习《最高人民法院 最高人民检察院关于办理组织考试作弊等刑事案件适用法律若干问题的解释》《教师资格条例》《国家教育考试违规处理办法》《刑法修正案（九）》等有关考试违规违纪作弊处理的法律法规，自觉遵守《考场规则》和考试纪律，诚信参加考试。</w:t>
      </w:r>
      <w:r>
        <w:rPr>
          <w:rFonts w:hint="eastAsia" w:ascii="仿宋_GB2312" w:hAnsi="微软雅黑" w:eastAsia="仿宋_GB2312"/>
          <w:b/>
          <w:bCs/>
          <w:color w:val="4B4B4B"/>
          <w:sz w:val="32"/>
          <w:szCs w:val="32"/>
        </w:rPr>
        <w:t>凡有作弊行为的，将按照《国家教育考试违规处理办法》认定和处理，并依据《教师资格条例》相关规定3年内禁止参加教师资格考试。</w:t>
      </w:r>
      <w:r>
        <w:rPr>
          <w:rFonts w:hint="eastAsia" w:ascii="仿宋_GB2312" w:hAnsi="微软雅黑" w:eastAsia="仿宋_GB2312"/>
          <w:color w:val="4B4B4B"/>
          <w:sz w:val="32"/>
          <w:szCs w:val="32"/>
        </w:rPr>
        <w:t>如有情节严重、触犯刑法的，将移送公安部门依法处理。</w:t>
      </w:r>
      <w:r>
        <w:rPr>
          <w:rFonts w:hint="eastAsia" w:ascii="仿宋_GB2312" w:hAnsi="微软雅黑" w:eastAsia="仿宋_GB2312"/>
          <w:color w:val="4B4B4B"/>
          <w:sz w:val="32"/>
          <w:szCs w:val="32"/>
          <w:u w:val="single"/>
        </w:rPr>
        <w:t>考试期间将实行全程监控录像，考后实行录像回放审查制度，请考生严格遵守《考场规则》和考试纪律，做到遵纪守法、诚信应考。</w:t>
      </w:r>
    </w:p>
    <w:p w14:paraId="52D48B4F">
      <w:pPr>
        <w:pStyle w:val="7"/>
        <w:shd w:val="clear" w:color="auto" w:fill="FFFFFF"/>
        <w:spacing w:before="0" w:beforeAutospacing="0" w:after="0" w:afterAutospacing="0" w:line="369" w:lineRule="atLeast"/>
        <w:ind w:firstLine="480"/>
        <w:rPr>
          <w:rFonts w:hint="eastAsia" w:ascii="仿宋_GB2312" w:hAnsi="微软雅黑" w:eastAsia="仿宋_GB2312"/>
          <w:color w:val="4B4B4B"/>
          <w:sz w:val="32"/>
          <w:szCs w:val="32"/>
        </w:rPr>
      </w:pPr>
      <w:r>
        <w:rPr>
          <w:rFonts w:hint="eastAsia" w:ascii="仿宋_GB2312" w:hAnsi="微软雅黑" w:eastAsia="仿宋_GB2312"/>
          <w:color w:val="4B4B4B"/>
          <w:sz w:val="32"/>
          <w:szCs w:val="32"/>
        </w:rPr>
        <w:t>请广大考生切勿轻信社会上一些不法分子和中介机构发布的“考试包过”“提供真题” 等有害信息，拒绝购买和使用非法利益集团兜售的各类作弊器材，践行诚信承诺，共同维护考试的良好环境。</w:t>
      </w:r>
    </w:p>
    <w:p w14:paraId="0F753664">
      <w:pPr>
        <w:pStyle w:val="16"/>
        <w:jc w:val="center"/>
        <w:rPr>
          <w:rFonts w:ascii="仿宋" w:hAnsi="仿宋" w:eastAsia="仿宋"/>
          <w:szCs w:val="32"/>
        </w:rPr>
      </w:pPr>
      <w:r>
        <w:rPr>
          <w:rFonts w:hint="eastAsia" w:ascii="仿宋" w:hAnsi="仿宋" w:eastAsia="仿宋"/>
          <w:szCs w:val="32"/>
        </w:rPr>
        <w:t xml:space="preserve">    </w:t>
      </w:r>
    </w:p>
    <w:p w14:paraId="4AD4858E">
      <w:pPr>
        <w:pStyle w:val="16"/>
        <w:jc w:val="center"/>
        <w:rPr>
          <w:rFonts w:ascii="宋体" w:hAnsi="宋体" w:eastAsia="宋体"/>
          <w:b/>
          <w:bCs/>
          <w:sz w:val="44"/>
          <w:szCs w:val="44"/>
        </w:rPr>
      </w:pPr>
      <w:r>
        <w:rPr>
          <w:rFonts w:hint="eastAsia" w:ascii="仿宋" w:hAnsi="仿宋" w:eastAsia="仿宋"/>
          <w:szCs w:val="32"/>
        </w:rPr>
        <w:t xml:space="preserve"> </w:t>
      </w:r>
      <w:r>
        <w:rPr>
          <w:rFonts w:hint="eastAsia" w:ascii="宋体" w:hAnsi="宋体" w:eastAsia="宋体"/>
          <w:b/>
          <w:bCs/>
          <w:sz w:val="44"/>
          <w:szCs w:val="44"/>
        </w:rPr>
        <w:t>2025</w:t>
      </w:r>
      <w:r>
        <w:rPr>
          <w:rFonts w:hint="eastAsia" w:ascii="宋体" w:hAnsi="宋体" w:eastAsia="宋体" w:cs="宋体"/>
          <w:b/>
          <w:bCs/>
          <w:color w:val="000000"/>
          <w:sz w:val="44"/>
          <w:szCs w:val="44"/>
        </w:rPr>
        <w:t>年上半年中小学教师资格</w:t>
      </w:r>
      <w:r>
        <w:rPr>
          <w:rFonts w:hint="eastAsia" w:ascii="宋体" w:hAnsi="宋体" w:eastAsia="宋体"/>
          <w:b/>
          <w:bCs/>
          <w:sz w:val="44"/>
          <w:szCs w:val="44"/>
        </w:rPr>
        <w:t>考试</w:t>
      </w:r>
    </w:p>
    <w:p w14:paraId="3BBC7BB6">
      <w:pPr>
        <w:pStyle w:val="16"/>
        <w:jc w:val="center"/>
        <w:rPr>
          <w:rFonts w:ascii="宋体" w:hAnsi="宋体" w:eastAsia="宋体"/>
          <w:b/>
          <w:bCs/>
          <w:sz w:val="44"/>
          <w:szCs w:val="44"/>
        </w:rPr>
      </w:pPr>
      <w:r>
        <w:rPr>
          <w:rFonts w:hint="eastAsia" w:ascii="宋体" w:hAnsi="宋体" w:eastAsia="宋体"/>
          <w:b/>
          <w:bCs/>
          <w:sz w:val="44"/>
          <w:szCs w:val="44"/>
        </w:rPr>
        <w:t>（笔试）科目及时间安排表</w:t>
      </w:r>
    </w:p>
    <w:p w14:paraId="29E9389B">
      <w:pPr>
        <w:pStyle w:val="4"/>
        <w:ind w:left="743" w:leftChars="110" w:hanging="512" w:hangingChars="160"/>
        <w:jc w:val="center"/>
        <w:rPr>
          <w:rFonts w:cs="宋体"/>
          <w:color w:val="000000"/>
          <w:spacing w:val="11"/>
          <w:kern w:val="0"/>
          <w:sz w:val="28"/>
          <w:szCs w:val="28"/>
        </w:rPr>
      </w:pPr>
      <w:r>
        <w:rPr>
          <w:rFonts w:hint="eastAsia" w:ascii="仿宋" w:hAnsi="仿宋" w:eastAsia="仿宋"/>
          <w:sz w:val="32"/>
        </w:rPr>
        <w:t xml:space="preserve">  </w:t>
      </w:r>
    </w:p>
    <w:tbl>
      <w:tblPr>
        <w:tblStyle w:val="8"/>
        <w:tblW w:w="939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813"/>
        <w:gridCol w:w="2623"/>
        <w:gridCol w:w="2556"/>
        <w:gridCol w:w="2402"/>
      </w:tblGrid>
      <w:tr w14:paraId="4E7120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7" w:hRule="atLeast"/>
          <w:jc w:val="center"/>
        </w:trPr>
        <w:tc>
          <w:tcPr>
            <w:tcW w:w="1813" w:type="dxa"/>
            <w:vMerge w:val="restart"/>
            <w:tcBorders>
              <w:top w:val="single" w:color="auto" w:sz="8" w:space="0"/>
              <w:left w:val="single" w:color="auto" w:sz="8" w:space="0"/>
              <w:bottom w:val="single" w:color="auto" w:sz="8" w:space="0"/>
              <w:right w:val="single" w:color="auto" w:sz="8" w:space="0"/>
            </w:tcBorders>
          </w:tcPr>
          <w:p w14:paraId="1ED064F6">
            <w:pPr>
              <w:spacing w:line="360" w:lineRule="auto"/>
              <w:ind w:firstLine="420" w:firstLineChars="200"/>
              <w:rPr>
                <w:rFonts w:ascii="仿宋_GB2312" w:hAnsi="宋体" w:eastAsia="仿宋_GB2312" w:cs="宋体"/>
                <w:b/>
                <w:kern w:val="0"/>
                <w:sz w:val="24"/>
              </w:rPr>
            </w:pPr>
            <w:r>
              <w:rPr>
                <w:rFonts w:ascii="仿宋_GB2312" w:hAnsi="Times New Roman" w:eastAsia="仿宋_GB2312" w:cs="Times New Roman"/>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13335</wp:posOffset>
                      </wp:positionV>
                      <wp:extent cx="1126490" cy="861695"/>
                      <wp:effectExtent l="3810" t="5080" r="12700" b="9525"/>
                      <wp:wrapNone/>
                      <wp:docPr id="6" name="__TH_G12四号27"/>
                      <wp:cNvGraphicFramePr/>
                      <a:graphic xmlns:a="http://schemas.openxmlformats.org/drawingml/2006/main">
                        <a:graphicData uri="http://schemas.microsoft.com/office/word/2010/wordprocessingGroup">
                          <wpg:wgp>
                            <wpg:cNvGrpSpPr/>
                            <wpg:grpSpPr>
                              <a:xfrm>
                                <a:off x="0" y="0"/>
                                <a:ext cx="1126490" cy="861695"/>
                                <a:chOff x="0" y="0"/>
                                <a:chExt cx="2033" cy="1546"/>
                              </a:xfrm>
                            </wpg:grpSpPr>
                            <wps:wsp>
                              <wps:cNvPr id="1" name="__TH_L22"/>
                              <wps:cNvCnPr/>
                              <wps:spPr>
                                <a:xfrm>
                                  <a:off x="0" y="0"/>
                                  <a:ext cx="2033" cy="1546"/>
                                </a:xfrm>
                                <a:prstGeom prst="line">
                                  <a:avLst/>
                                </a:prstGeom>
                                <a:ln w="12700" cap="flat" cmpd="sng">
                                  <a:solidFill>
                                    <a:srgbClr val="000000"/>
                                  </a:solidFill>
                                  <a:prstDash val="solid"/>
                                  <a:headEnd type="none" w="med" len="med"/>
                                  <a:tailEnd type="none" w="med" len="med"/>
                                </a:ln>
                              </wps:spPr>
                              <wps:bodyPr upright="1"/>
                            </wps:wsp>
                            <wps:wsp>
                              <wps:cNvPr id="2" name="__TH_B1123"/>
                              <wps:cNvSpPr txBox="1"/>
                              <wps:spPr>
                                <a:xfrm>
                                  <a:off x="864" y="134"/>
                                  <a:ext cx="350" cy="350"/>
                                </a:xfrm>
                                <a:prstGeom prst="rect">
                                  <a:avLst/>
                                </a:prstGeom>
                                <a:noFill/>
                                <a:ln>
                                  <a:noFill/>
                                </a:ln>
                              </wps:spPr>
                              <wps:txbx>
                                <w:txbxContent>
                                  <w:p w14:paraId="6BB6E221">
                                    <w:pPr>
                                      <w:snapToGrid w:val="0"/>
                                      <w:rPr>
                                        <w:rFonts w:ascii="仿宋" w:hAnsi="仿宋" w:eastAsia="仿宋" w:cs="仿宋"/>
                                        <w:b/>
                                        <w:sz w:val="24"/>
                                      </w:rPr>
                                    </w:pPr>
                                    <w:r>
                                      <w:rPr>
                                        <w:rFonts w:hint="eastAsia" w:ascii="仿宋" w:hAnsi="仿宋" w:eastAsia="仿宋" w:cs="仿宋"/>
                                        <w:b/>
                                        <w:sz w:val="24"/>
                                      </w:rPr>
                                      <w:t>时</w:t>
                                    </w:r>
                                  </w:p>
                                </w:txbxContent>
                              </wps:txbx>
                              <wps:bodyPr lIns="0" tIns="0" rIns="0" bIns="0" upright="1"/>
                            </wps:wsp>
                            <wps:wsp>
                              <wps:cNvPr id="3" name="__TH_B1224"/>
                              <wps:cNvSpPr txBox="1"/>
                              <wps:spPr>
                                <a:xfrm>
                                  <a:off x="1299" y="473"/>
                                  <a:ext cx="350" cy="350"/>
                                </a:xfrm>
                                <a:prstGeom prst="rect">
                                  <a:avLst/>
                                </a:prstGeom>
                                <a:noFill/>
                                <a:ln>
                                  <a:noFill/>
                                </a:ln>
                              </wps:spPr>
                              <wps:txbx>
                                <w:txbxContent>
                                  <w:p w14:paraId="232A27A0">
                                    <w:pPr>
                                      <w:snapToGrid w:val="0"/>
                                      <w:rPr>
                                        <w:rFonts w:ascii="仿宋" w:hAnsi="仿宋" w:eastAsia="仿宋" w:cs="仿宋"/>
                                        <w:b/>
                                        <w:sz w:val="24"/>
                                      </w:rPr>
                                    </w:pPr>
                                    <w:r>
                                      <w:rPr>
                                        <w:rFonts w:hint="eastAsia" w:ascii="仿宋" w:hAnsi="仿宋" w:eastAsia="仿宋" w:cs="仿宋"/>
                                        <w:b/>
                                        <w:sz w:val="24"/>
                                      </w:rPr>
                                      <w:t>间</w:t>
                                    </w:r>
                                  </w:p>
                                </w:txbxContent>
                              </wps:txbx>
                              <wps:bodyPr lIns="0" tIns="0" rIns="0" bIns="0" upright="1"/>
                            </wps:wsp>
                            <wps:wsp>
                              <wps:cNvPr id="4" name="__TH_B2125"/>
                              <wps:cNvSpPr txBox="1"/>
                              <wps:spPr>
                                <a:xfrm>
                                  <a:off x="225" y="613"/>
                                  <a:ext cx="350" cy="350"/>
                                </a:xfrm>
                                <a:prstGeom prst="rect">
                                  <a:avLst/>
                                </a:prstGeom>
                                <a:noFill/>
                                <a:ln>
                                  <a:noFill/>
                                </a:ln>
                              </wps:spPr>
                              <wps:txbx>
                                <w:txbxContent>
                                  <w:p w14:paraId="2B7CAE00">
                                    <w:pPr>
                                      <w:snapToGrid w:val="0"/>
                                      <w:rPr>
                                        <w:rFonts w:ascii="仿宋" w:hAnsi="仿宋" w:eastAsia="仿宋" w:cs="仿宋"/>
                                        <w:b/>
                                        <w:sz w:val="24"/>
                                      </w:rPr>
                                    </w:pPr>
                                    <w:r>
                                      <w:rPr>
                                        <w:rFonts w:hint="eastAsia" w:ascii="仿宋" w:hAnsi="仿宋" w:eastAsia="仿宋" w:cs="仿宋"/>
                                        <w:b/>
                                        <w:sz w:val="24"/>
                                      </w:rPr>
                                      <w:t>类</w:t>
                                    </w:r>
                                  </w:p>
                                </w:txbxContent>
                              </wps:txbx>
                              <wps:bodyPr lIns="0" tIns="0" rIns="0" bIns="0" upright="1"/>
                            </wps:wsp>
                            <wps:wsp>
                              <wps:cNvPr id="5" name="__TH_B2226"/>
                              <wps:cNvSpPr txBox="1"/>
                              <wps:spPr>
                                <a:xfrm>
                                  <a:off x="675" y="964"/>
                                  <a:ext cx="350" cy="350"/>
                                </a:xfrm>
                                <a:prstGeom prst="rect">
                                  <a:avLst/>
                                </a:prstGeom>
                                <a:noFill/>
                                <a:ln>
                                  <a:noFill/>
                                </a:ln>
                              </wps:spPr>
                              <wps:txbx>
                                <w:txbxContent>
                                  <w:p w14:paraId="2331CA43">
                                    <w:pPr>
                                      <w:snapToGrid w:val="0"/>
                                      <w:rPr>
                                        <w:rFonts w:ascii="仿宋" w:hAnsi="仿宋" w:eastAsia="仿宋" w:cs="仿宋"/>
                                        <w:b/>
                                        <w:sz w:val="24"/>
                                      </w:rPr>
                                    </w:pPr>
                                    <w:r>
                                      <w:rPr>
                                        <w:rFonts w:hint="eastAsia" w:ascii="仿宋" w:hAnsi="仿宋" w:eastAsia="仿宋" w:cs="仿宋"/>
                                        <w:b/>
                                        <w:sz w:val="24"/>
                                      </w:rPr>
                                      <w:t>别</w:t>
                                    </w:r>
                                  </w:p>
                                </w:txbxContent>
                              </wps:txbx>
                              <wps:bodyPr lIns="0" tIns="0" rIns="0" bIns="0" upright="1"/>
                            </wps:wsp>
                          </wpg:wgp>
                        </a:graphicData>
                      </a:graphic>
                    </wp:anchor>
                  </w:drawing>
                </mc:Choice>
                <mc:Fallback>
                  <w:pict>
                    <v:group id="__TH_G12四号27" o:spid="_x0000_s1026" o:spt="203" style="position:absolute;left:0pt;margin-left:-5.15pt;margin-top:1.05pt;height:67.85pt;width:88.7pt;z-index:251659264;mso-width-relative:page;mso-height-relative:page;" coordsize="2033,1546" o:gfxdata="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BTuLGE2AAA&#10;AAkBAAAPAAAAAAAAAAEAIAAAACIAAABkcnMvZG93bnJldi54bWxQSwECFAAUAAAACACHTuJAJ+iZ&#10;WgIDAABPCwAADgAAAAAAAAABACAAAAAnAQAAZHJzL2Uyb0RvYy54bWxQSwUGAAAAAAYABgBZAQAA&#10;mwYAAAAA&#10;">
                      <o:lock v:ext="edit" aspectratio="f"/>
                      <v:line id="__TH_L22" o:spid="_x0000_s1026" o:spt="20" style="position:absolute;left:0;top:0;height:1546;width:2033;" filled="f" stroked="t" coordsize="21600,21600" o:gfxdata="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jCr7gAAADaAAAA&#10;DwAAAAAAAAABACAAAAAiAAAAZHJzL2Rvd25yZXYueG1sUEsBAhQAFAAAAAgAh07iQDMvBZ47AAAA&#10;OQAAABAAAAAAAAAAAQAgAAAABwEAAGRycy9zaGFwZXhtbC54bWxQSwUGAAAAAAYABgBbAQAAsQMA&#10;AAAA&#10;">
                        <v:fill on="f" focussize="0,0"/>
                        <v:stroke weight="1pt" color="#000000" joinstyle="round"/>
                        <v:imagedata o:title=""/>
                        <o:lock v:ext="edit" aspectratio="f"/>
                      </v:line>
                      <v:shape id="__TH_B1123" o:spid="_x0000_s1026" o:spt="202" type="#_x0000_t202" style="position:absolute;left:864;top:134;height:350;width:350;"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BB6E221">
                              <w:pPr>
                                <w:snapToGrid w:val="0"/>
                                <w:rPr>
                                  <w:rFonts w:ascii="仿宋" w:hAnsi="仿宋" w:eastAsia="仿宋" w:cs="仿宋"/>
                                  <w:b/>
                                  <w:sz w:val="24"/>
                                </w:rPr>
                              </w:pPr>
                              <w:r>
                                <w:rPr>
                                  <w:rFonts w:hint="eastAsia" w:ascii="仿宋" w:hAnsi="仿宋" w:eastAsia="仿宋" w:cs="仿宋"/>
                                  <w:b/>
                                  <w:sz w:val="24"/>
                                </w:rPr>
                                <w:t>时</w:t>
                              </w:r>
                            </w:p>
                          </w:txbxContent>
                        </v:textbox>
                      </v:shape>
                      <v:shape id="__TH_B1224" o:spid="_x0000_s1026" o:spt="202" type="#_x0000_t202" style="position:absolute;left:1299;top:473;height:350;width:35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2A27A0">
                              <w:pPr>
                                <w:snapToGrid w:val="0"/>
                                <w:rPr>
                                  <w:rFonts w:ascii="仿宋" w:hAnsi="仿宋" w:eastAsia="仿宋" w:cs="仿宋"/>
                                  <w:b/>
                                  <w:sz w:val="24"/>
                                </w:rPr>
                              </w:pPr>
                              <w:r>
                                <w:rPr>
                                  <w:rFonts w:hint="eastAsia" w:ascii="仿宋" w:hAnsi="仿宋" w:eastAsia="仿宋" w:cs="仿宋"/>
                                  <w:b/>
                                  <w:sz w:val="24"/>
                                </w:rPr>
                                <w:t>间</w:t>
                              </w:r>
                            </w:p>
                          </w:txbxContent>
                        </v:textbox>
                      </v:shape>
                      <v:shape id="__TH_B2125" o:spid="_x0000_s1026" o:spt="202" type="#_x0000_t202" style="position:absolute;left:225;top:613;height:350;width:35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B7CAE00">
                              <w:pPr>
                                <w:snapToGrid w:val="0"/>
                                <w:rPr>
                                  <w:rFonts w:ascii="仿宋" w:hAnsi="仿宋" w:eastAsia="仿宋" w:cs="仿宋"/>
                                  <w:b/>
                                  <w:sz w:val="24"/>
                                </w:rPr>
                              </w:pPr>
                              <w:r>
                                <w:rPr>
                                  <w:rFonts w:hint="eastAsia" w:ascii="仿宋" w:hAnsi="仿宋" w:eastAsia="仿宋" w:cs="仿宋"/>
                                  <w:b/>
                                  <w:sz w:val="24"/>
                                </w:rPr>
                                <w:t>类</w:t>
                              </w:r>
                            </w:p>
                          </w:txbxContent>
                        </v:textbox>
                      </v:shape>
                      <v:shape id="__TH_B2226" o:spid="_x0000_s1026" o:spt="202" type="#_x0000_t202" style="position:absolute;left:675;top:964;height:350;width:35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331CA43">
                              <w:pPr>
                                <w:snapToGrid w:val="0"/>
                                <w:rPr>
                                  <w:rFonts w:ascii="仿宋" w:hAnsi="仿宋" w:eastAsia="仿宋" w:cs="仿宋"/>
                                  <w:b/>
                                  <w:sz w:val="24"/>
                                </w:rPr>
                              </w:pPr>
                              <w:r>
                                <w:rPr>
                                  <w:rFonts w:hint="eastAsia" w:ascii="仿宋" w:hAnsi="仿宋" w:eastAsia="仿宋" w:cs="仿宋"/>
                                  <w:b/>
                                  <w:sz w:val="24"/>
                                </w:rPr>
                                <w:t>别</w:t>
                              </w:r>
                            </w:p>
                          </w:txbxContent>
                        </v:textbox>
                      </v:shape>
                    </v:group>
                  </w:pict>
                </mc:Fallback>
              </mc:AlternateContent>
            </w:r>
          </w:p>
        </w:tc>
        <w:tc>
          <w:tcPr>
            <w:tcW w:w="7581" w:type="dxa"/>
            <w:gridSpan w:val="3"/>
            <w:tcBorders>
              <w:top w:val="single" w:color="auto" w:sz="8" w:space="0"/>
              <w:left w:val="single" w:color="auto" w:sz="8" w:space="0"/>
              <w:bottom w:val="single" w:color="auto" w:sz="8" w:space="0"/>
              <w:right w:val="single" w:color="auto" w:sz="8" w:space="0"/>
            </w:tcBorders>
            <w:vAlign w:val="center"/>
          </w:tcPr>
          <w:p w14:paraId="03022EFE">
            <w:pPr>
              <w:widowControl/>
              <w:spacing w:line="370" w:lineRule="exact"/>
              <w:jc w:val="center"/>
              <w:rPr>
                <w:rFonts w:ascii="仿宋_GB2312" w:hAnsi="宋体" w:eastAsia="仿宋_GB2312" w:cs="宋体"/>
                <w:b/>
                <w:kern w:val="0"/>
                <w:sz w:val="24"/>
              </w:rPr>
            </w:pPr>
            <w:r>
              <w:rPr>
                <w:rFonts w:hint="eastAsia" w:ascii="仿宋_GB2312" w:hAnsi="宋体" w:eastAsia="仿宋_GB2312" w:cs="仿宋_GB2312"/>
                <w:b/>
                <w:kern w:val="0"/>
                <w:sz w:val="27"/>
                <w:szCs w:val="27"/>
              </w:rPr>
              <w:t>2025年3月8日（星期六）</w:t>
            </w:r>
          </w:p>
        </w:tc>
      </w:tr>
      <w:tr w14:paraId="6E5F2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36" w:hRule="atLeast"/>
          <w:jc w:val="center"/>
        </w:trPr>
        <w:tc>
          <w:tcPr>
            <w:tcW w:w="1813" w:type="dxa"/>
            <w:vMerge w:val="continue"/>
            <w:tcBorders>
              <w:top w:val="single" w:color="auto" w:sz="8" w:space="0"/>
              <w:left w:val="single" w:color="auto" w:sz="8" w:space="0"/>
              <w:bottom w:val="single" w:color="auto" w:sz="8" w:space="0"/>
              <w:right w:val="single" w:color="auto" w:sz="8" w:space="0"/>
            </w:tcBorders>
          </w:tcPr>
          <w:p w14:paraId="560511CE">
            <w:pPr>
              <w:rPr>
                <w:rFonts w:ascii="仿宋_GB2312" w:eastAsia="仿宋_GB2312"/>
                <w:sz w:val="20"/>
              </w:rPr>
            </w:pPr>
          </w:p>
        </w:tc>
        <w:tc>
          <w:tcPr>
            <w:tcW w:w="2623" w:type="dxa"/>
            <w:tcBorders>
              <w:top w:val="single" w:color="auto" w:sz="8" w:space="0"/>
              <w:left w:val="single" w:color="auto" w:sz="8" w:space="0"/>
              <w:bottom w:val="single" w:color="auto" w:sz="8" w:space="0"/>
              <w:right w:val="single" w:color="auto" w:sz="8" w:space="0"/>
            </w:tcBorders>
          </w:tcPr>
          <w:p w14:paraId="0442883A">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上午</w:t>
            </w:r>
          </w:p>
          <w:p w14:paraId="78B60BE1">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9:00-11:00</w:t>
            </w:r>
          </w:p>
        </w:tc>
        <w:tc>
          <w:tcPr>
            <w:tcW w:w="2556" w:type="dxa"/>
            <w:tcBorders>
              <w:top w:val="single" w:color="auto" w:sz="8" w:space="0"/>
              <w:left w:val="single" w:color="auto" w:sz="8" w:space="0"/>
              <w:bottom w:val="single" w:color="auto" w:sz="8" w:space="0"/>
              <w:right w:val="single" w:color="auto" w:sz="8" w:space="0"/>
            </w:tcBorders>
          </w:tcPr>
          <w:p w14:paraId="35270146">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下午</w:t>
            </w:r>
          </w:p>
          <w:p w14:paraId="7D3AC5E4">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13:00-15:00</w:t>
            </w:r>
          </w:p>
        </w:tc>
        <w:tc>
          <w:tcPr>
            <w:tcW w:w="2402" w:type="dxa"/>
            <w:tcBorders>
              <w:top w:val="single" w:color="auto" w:sz="8" w:space="0"/>
              <w:left w:val="single" w:color="auto" w:sz="8" w:space="0"/>
              <w:bottom w:val="single" w:color="auto" w:sz="8" w:space="0"/>
              <w:right w:val="single" w:color="auto" w:sz="8" w:space="0"/>
            </w:tcBorders>
          </w:tcPr>
          <w:p w14:paraId="5C054CD9">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下午</w:t>
            </w:r>
          </w:p>
          <w:p w14:paraId="5FAC001D">
            <w:pPr>
              <w:widowControl/>
              <w:spacing w:line="370" w:lineRule="exact"/>
              <w:jc w:val="center"/>
              <w:rPr>
                <w:rFonts w:ascii="仿宋_GB2312" w:hAnsi="宋体" w:eastAsia="仿宋_GB2312" w:cs="宋体"/>
                <w:b/>
                <w:kern w:val="0"/>
                <w:sz w:val="24"/>
              </w:rPr>
            </w:pPr>
            <w:r>
              <w:rPr>
                <w:rFonts w:hint="eastAsia" w:ascii="仿宋_GB2312" w:hAnsi="宋体" w:eastAsia="仿宋_GB2312" w:cs="宋体"/>
                <w:b/>
                <w:kern w:val="0"/>
                <w:sz w:val="24"/>
              </w:rPr>
              <w:t>16:00-18:00</w:t>
            </w:r>
          </w:p>
        </w:tc>
      </w:tr>
      <w:tr w14:paraId="6566F9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2C2ADBFC">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幼儿园</w:t>
            </w:r>
          </w:p>
        </w:tc>
        <w:tc>
          <w:tcPr>
            <w:tcW w:w="2623" w:type="dxa"/>
            <w:tcBorders>
              <w:top w:val="single" w:color="auto" w:sz="8" w:space="0"/>
              <w:left w:val="single" w:color="auto" w:sz="8" w:space="0"/>
              <w:bottom w:val="single" w:color="auto" w:sz="8" w:space="0"/>
              <w:right w:val="single" w:color="auto" w:sz="8" w:space="0"/>
            </w:tcBorders>
            <w:vAlign w:val="center"/>
          </w:tcPr>
          <w:p w14:paraId="60A1C235">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综合素质（幼儿园）</w:t>
            </w:r>
          </w:p>
        </w:tc>
        <w:tc>
          <w:tcPr>
            <w:tcW w:w="2556" w:type="dxa"/>
            <w:tcBorders>
              <w:top w:val="single" w:color="auto" w:sz="8" w:space="0"/>
              <w:left w:val="single" w:color="auto" w:sz="8" w:space="0"/>
              <w:bottom w:val="single" w:color="auto" w:sz="8" w:space="0"/>
              <w:right w:val="single" w:color="auto" w:sz="8" w:space="0"/>
            </w:tcBorders>
            <w:vAlign w:val="center"/>
          </w:tcPr>
          <w:p w14:paraId="629E364A">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保教知识与能力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5F570D45">
            <w:pPr>
              <w:widowControl/>
              <w:spacing w:line="370" w:lineRule="exact"/>
              <w:jc w:val="center"/>
              <w:rPr>
                <w:rFonts w:ascii="仿宋_GB2312" w:hAnsi="宋体" w:eastAsia="仿宋_GB2312" w:cs="宋体"/>
                <w:kern w:val="0"/>
                <w:sz w:val="24"/>
              </w:rPr>
            </w:pPr>
          </w:p>
        </w:tc>
      </w:tr>
      <w:tr w14:paraId="10AD3F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6272F36D">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小  学</w:t>
            </w:r>
          </w:p>
        </w:tc>
        <w:tc>
          <w:tcPr>
            <w:tcW w:w="2623" w:type="dxa"/>
            <w:tcBorders>
              <w:top w:val="single" w:color="auto" w:sz="8" w:space="0"/>
              <w:left w:val="single" w:color="auto" w:sz="8" w:space="0"/>
              <w:bottom w:val="single" w:color="auto" w:sz="8" w:space="0"/>
              <w:right w:val="single" w:color="auto" w:sz="8" w:space="0"/>
            </w:tcBorders>
            <w:vAlign w:val="center"/>
          </w:tcPr>
          <w:p w14:paraId="0AE21C30">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综合素质（小学）</w:t>
            </w:r>
          </w:p>
        </w:tc>
        <w:tc>
          <w:tcPr>
            <w:tcW w:w="2556" w:type="dxa"/>
            <w:tcBorders>
              <w:top w:val="single" w:color="auto" w:sz="8" w:space="0"/>
              <w:left w:val="single" w:color="auto" w:sz="8" w:space="0"/>
              <w:bottom w:val="single" w:color="auto" w:sz="8" w:space="0"/>
              <w:right w:val="single" w:color="auto" w:sz="8" w:space="0"/>
            </w:tcBorders>
            <w:vAlign w:val="center"/>
          </w:tcPr>
          <w:p w14:paraId="1FBDE505">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教育教学知识与能力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03077ADB">
            <w:pPr>
              <w:widowControl/>
              <w:spacing w:line="370" w:lineRule="exact"/>
              <w:jc w:val="center"/>
              <w:rPr>
                <w:rFonts w:ascii="仿宋_GB2312" w:hAnsi="宋体" w:eastAsia="仿宋_GB2312" w:cs="宋体"/>
                <w:kern w:val="0"/>
                <w:sz w:val="24"/>
              </w:rPr>
            </w:pPr>
          </w:p>
        </w:tc>
      </w:tr>
      <w:tr w14:paraId="5CC29C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8"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174B9184">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初级中学</w:t>
            </w:r>
          </w:p>
        </w:tc>
        <w:tc>
          <w:tcPr>
            <w:tcW w:w="2623" w:type="dxa"/>
            <w:vMerge w:val="restart"/>
            <w:tcBorders>
              <w:top w:val="single" w:color="auto" w:sz="8" w:space="0"/>
              <w:left w:val="single" w:color="auto" w:sz="8" w:space="0"/>
              <w:bottom w:val="single" w:color="auto" w:sz="8" w:space="0"/>
              <w:right w:val="single" w:color="auto" w:sz="8" w:space="0"/>
            </w:tcBorders>
            <w:vAlign w:val="center"/>
          </w:tcPr>
          <w:p w14:paraId="2235F0B2">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综合素质（中学）</w:t>
            </w:r>
          </w:p>
        </w:tc>
        <w:tc>
          <w:tcPr>
            <w:tcW w:w="2556" w:type="dxa"/>
            <w:vMerge w:val="restart"/>
            <w:tcBorders>
              <w:top w:val="single" w:color="auto" w:sz="8" w:space="0"/>
              <w:left w:val="single" w:color="auto" w:sz="8" w:space="0"/>
              <w:bottom w:val="single" w:color="auto" w:sz="8" w:space="0"/>
              <w:right w:val="single" w:color="auto" w:sz="8" w:space="0"/>
            </w:tcBorders>
            <w:vAlign w:val="center"/>
          </w:tcPr>
          <w:p w14:paraId="2C427EC7">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教育知识与能力</w:t>
            </w:r>
          </w:p>
        </w:tc>
        <w:tc>
          <w:tcPr>
            <w:tcW w:w="2402" w:type="dxa"/>
            <w:tcBorders>
              <w:top w:val="single" w:color="auto" w:sz="8" w:space="0"/>
              <w:left w:val="single" w:color="auto" w:sz="8" w:space="0"/>
              <w:bottom w:val="single" w:color="auto" w:sz="8" w:space="0"/>
              <w:right w:val="single" w:color="auto" w:sz="8" w:space="0"/>
            </w:tcBorders>
            <w:vAlign w:val="center"/>
          </w:tcPr>
          <w:p w14:paraId="02ED4503">
            <w:pPr>
              <w:widowControl/>
              <w:spacing w:line="37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学科知识与教学能力</w:t>
            </w:r>
          </w:p>
          <w:p w14:paraId="042D053C">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（初级中学）</w:t>
            </w:r>
          </w:p>
        </w:tc>
      </w:tr>
      <w:tr w14:paraId="2E2A61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421A1BAD">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高级中学</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0F23B079">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45FDE8DD">
            <w:pPr>
              <w:rPr>
                <w:rFonts w:ascii="仿宋_GB2312" w:eastAsia="仿宋_GB2312"/>
                <w:sz w:val="20"/>
              </w:rPr>
            </w:pPr>
          </w:p>
        </w:tc>
        <w:tc>
          <w:tcPr>
            <w:tcW w:w="2402" w:type="dxa"/>
            <w:vMerge w:val="restart"/>
            <w:tcBorders>
              <w:top w:val="single" w:color="auto" w:sz="8" w:space="0"/>
              <w:left w:val="single" w:color="auto" w:sz="8" w:space="0"/>
              <w:bottom w:val="single" w:color="auto" w:sz="8" w:space="0"/>
              <w:right w:val="single" w:color="auto" w:sz="8" w:space="0"/>
            </w:tcBorders>
            <w:vAlign w:val="center"/>
          </w:tcPr>
          <w:p w14:paraId="4404A71C">
            <w:pPr>
              <w:widowControl/>
              <w:spacing w:line="370" w:lineRule="exact"/>
              <w:jc w:val="center"/>
              <w:rPr>
                <w:rFonts w:hint="eastAsia" w:ascii="仿宋_GB2312" w:hAnsi="宋体" w:eastAsia="仿宋_GB2312" w:cs="宋体"/>
                <w:kern w:val="0"/>
                <w:sz w:val="24"/>
              </w:rPr>
            </w:pPr>
            <w:r>
              <w:rPr>
                <w:rFonts w:hint="eastAsia" w:ascii="仿宋_GB2312" w:hAnsi="宋体" w:eastAsia="仿宋_GB2312" w:cs="宋体"/>
                <w:kern w:val="0"/>
                <w:sz w:val="24"/>
              </w:rPr>
              <w:t>学科知识与教学能力</w:t>
            </w:r>
          </w:p>
          <w:p w14:paraId="3E342214">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（高级中学）</w:t>
            </w:r>
          </w:p>
        </w:tc>
      </w:tr>
      <w:tr w14:paraId="30B4FF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60045CDE">
            <w:pPr>
              <w:widowControl/>
              <w:spacing w:line="370" w:lineRule="exact"/>
              <w:jc w:val="center"/>
              <w:rPr>
                <w:rFonts w:ascii="仿宋_GB2312" w:hAnsi="宋体" w:eastAsia="仿宋_GB2312" w:cs="宋体"/>
                <w:kern w:val="0"/>
                <w:sz w:val="24"/>
              </w:rPr>
            </w:pPr>
            <w:r>
              <w:rPr>
                <w:rFonts w:hint="eastAsia" w:ascii="仿宋_GB2312" w:hAnsi="宋体" w:eastAsia="仿宋_GB2312" w:cs="宋体"/>
                <w:kern w:val="0"/>
                <w:sz w:val="24"/>
              </w:rPr>
              <w:t>中职文化课</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69F9135C">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291CABFA">
            <w:pPr>
              <w:rPr>
                <w:rFonts w:ascii="仿宋_GB2312" w:eastAsia="仿宋_GB2312"/>
                <w:sz w:val="20"/>
              </w:rPr>
            </w:pPr>
          </w:p>
        </w:tc>
        <w:tc>
          <w:tcPr>
            <w:tcW w:w="2402" w:type="dxa"/>
            <w:vMerge w:val="continue"/>
            <w:tcBorders>
              <w:top w:val="single" w:color="auto" w:sz="8" w:space="0"/>
              <w:left w:val="single" w:color="auto" w:sz="8" w:space="0"/>
              <w:bottom w:val="single" w:color="auto" w:sz="8" w:space="0"/>
              <w:right w:val="single" w:color="auto" w:sz="8" w:space="0"/>
            </w:tcBorders>
            <w:vAlign w:val="center"/>
          </w:tcPr>
          <w:p w14:paraId="6B31AC17">
            <w:pPr>
              <w:rPr>
                <w:rFonts w:ascii="仿宋_GB2312" w:eastAsia="仿宋_GB2312"/>
                <w:sz w:val="20"/>
              </w:rPr>
            </w:pPr>
          </w:p>
        </w:tc>
      </w:tr>
      <w:tr w14:paraId="4979B5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21BAE5C7">
            <w:pPr>
              <w:widowControl/>
              <w:spacing w:line="370" w:lineRule="exact"/>
              <w:jc w:val="center"/>
              <w:rPr>
                <w:rFonts w:ascii="仿宋_GB2312" w:hAnsi="宋体" w:eastAsia="仿宋_GB2312" w:cs="宋体"/>
                <w:kern w:val="0"/>
                <w:sz w:val="24"/>
              </w:rPr>
            </w:pPr>
            <w:r>
              <w:rPr>
                <w:rFonts w:hint="eastAsia" w:ascii="仿宋_GB2312" w:hAnsi="宋体" w:eastAsia="仿宋_GB2312" w:cs="仿宋_GB2312"/>
                <w:kern w:val="0"/>
                <w:sz w:val="27"/>
                <w:szCs w:val="27"/>
              </w:rPr>
              <w:t>中职专业课</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1C4E522B">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126368AD">
            <w:pPr>
              <w:rPr>
                <w:rFonts w:ascii="仿宋_GB2312" w:eastAsia="仿宋_GB2312"/>
                <w:sz w:val="20"/>
              </w:rPr>
            </w:pPr>
          </w:p>
        </w:tc>
        <w:tc>
          <w:tcPr>
            <w:tcW w:w="2402" w:type="dxa"/>
            <w:tcBorders>
              <w:top w:val="single" w:color="auto" w:sz="8" w:space="0"/>
              <w:left w:val="single" w:color="auto" w:sz="8" w:space="0"/>
              <w:bottom w:val="single" w:color="auto" w:sz="8" w:space="0"/>
              <w:right w:val="single" w:color="auto" w:sz="8" w:space="0"/>
            </w:tcBorders>
            <w:vAlign w:val="center"/>
          </w:tcPr>
          <w:p w14:paraId="3FEE3A62">
            <w:pPr>
              <w:widowControl/>
              <w:jc w:val="left"/>
              <w:rPr>
                <w:rFonts w:ascii="仿宋_GB2312" w:hAnsi="宋体" w:eastAsia="仿宋_GB2312" w:cs="宋体"/>
                <w:kern w:val="0"/>
                <w:sz w:val="24"/>
              </w:rPr>
            </w:pPr>
          </w:p>
        </w:tc>
      </w:tr>
      <w:tr w14:paraId="6004DD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exact"/>
          <w:jc w:val="center"/>
        </w:trPr>
        <w:tc>
          <w:tcPr>
            <w:tcW w:w="1813" w:type="dxa"/>
            <w:tcBorders>
              <w:top w:val="single" w:color="auto" w:sz="8" w:space="0"/>
              <w:left w:val="single" w:color="auto" w:sz="8" w:space="0"/>
              <w:bottom w:val="single" w:color="auto" w:sz="8" w:space="0"/>
              <w:right w:val="single" w:color="auto" w:sz="8" w:space="0"/>
            </w:tcBorders>
            <w:vAlign w:val="center"/>
          </w:tcPr>
          <w:p w14:paraId="0F506634">
            <w:pPr>
              <w:widowControl/>
              <w:spacing w:line="370" w:lineRule="exact"/>
              <w:jc w:val="center"/>
              <w:rPr>
                <w:rFonts w:ascii="仿宋_GB2312" w:hAnsi="宋体" w:eastAsia="仿宋_GB2312" w:cs="宋体"/>
                <w:kern w:val="0"/>
                <w:sz w:val="24"/>
              </w:rPr>
            </w:pPr>
            <w:r>
              <w:rPr>
                <w:rFonts w:hint="eastAsia" w:ascii="仿宋_GB2312" w:hAnsi="宋体" w:eastAsia="仿宋_GB2312" w:cs="仿宋_GB2312"/>
                <w:kern w:val="0"/>
                <w:sz w:val="24"/>
              </w:rPr>
              <w:t>中职实习指导</w:t>
            </w:r>
          </w:p>
        </w:tc>
        <w:tc>
          <w:tcPr>
            <w:tcW w:w="2623" w:type="dxa"/>
            <w:vMerge w:val="continue"/>
            <w:tcBorders>
              <w:top w:val="single" w:color="auto" w:sz="8" w:space="0"/>
              <w:left w:val="single" w:color="auto" w:sz="8" w:space="0"/>
              <w:bottom w:val="single" w:color="auto" w:sz="8" w:space="0"/>
              <w:right w:val="single" w:color="auto" w:sz="8" w:space="0"/>
            </w:tcBorders>
            <w:vAlign w:val="center"/>
          </w:tcPr>
          <w:p w14:paraId="449BAC13">
            <w:pPr>
              <w:rPr>
                <w:rFonts w:ascii="仿宋_GB2312" w:eastAsia="仿宋_GB2312"/>
                <w:sz w:val="20"/>
              </w:rPr>
            </w:pPr>
          </w:p>
        </w:tc>
        <w:tc>
          <w:tcPr>
            <w:tcW w:w="2556" w:type="dxa"/>
            <w:vMerge w:val="continue"/>
            <w:tcBorders>
              <w:top w:val="single" w:color="auto" w:sz="8" w:space="0"/>
              <w:left w:val="single" w:color="auto" w:sz="8" w:space="0"/>
              <w:bottom w:val="single" w:color="auto" w:sz="8" w:space="0"/>
              <w:right w:val="single" w:color="auto" w:sz="8" w:space="0"/>
            </w:tcBorders>
            <w:vAlign w:val="center"/>
          </w:tcPr>
          <w:p w14:paraId="00279F2A">
            <w:pPr>
              <w:rPr>
                <w:rFonts w:ascii="仿宋_GB2312" w:eastAsia="仿宋_GB2312"/>
                <w:sz w:val="20"/>
              </w:rPr>
            </w:pPr>
          </w:p>
        </w:tc>
        <w:tc>
          <w:tcPr>
            <w:tcW w:w="2402" w:type="dxa"/>
            <w:tcBorders>
              <w:top w:val="single" w:color="auto" w:sz="8" w:space="0"/>
              <w:left w:val="single" w:color="auto" w:sz="8" w:space="0"/>
              <w:bottom w:val="single" w:color="auto" w:sz="8" w:space="0"/>
              <w:right w:val="single" w:color="auto" w:sz="8" w:space="0"/>
            </w:tcBorders>
            <w:vAlign w:val="center"/>
          </w:tcPr>
          <w:p w14:paraId="5635E0AD">
            <w:pPr>
              <w:widowControl/>
              <w:jc w:val="left"/>
              <w:rPr>
                <w:rFonts w:ascii="仿宋_GB2312" w:hAnsi="宋体" w:eastAsia="仿宋_GB2312" w:cs="宋体"/>
                <w:kern w:val="0"/>
                <w:sz w:val="24"/>
              </w:rPr>
            </w:pPr>
          </w:p>
        </w:tc>
      </w:tr>
    </w:tbl>
    <w:p w14:paraId="72A58D75">
      <w:pPr>
        <w:pStyle w:val="4"/>
        <w:ind w:left="714" w:leftChars="110" w:hanging="483" w:hangingChars="160"/>
        <w:jc w:val="center"/>
        <w:rPr>
          <w:rFonts w:cs="宋体"/>
          <w:color w:val="000000"/>
          <w:spacing w:val="11"/>
          <w:kern w:val="0"/>
          <w:sz w:val="28"/>
          <w:szCs w:val="28"/>
        </w:rPr>
      </w:pPr>
    </w:p>
    <w:p w14:paraId="160AEB28">
      <w:pPr>
        <w:pStyle w:val="4"/>
        <w:ind w:left="714" w:leftChars="110" w:hanging="483" w:hangingChars="160"/>
        <w:jc w:val="center"/>
        <w:rPr>
          <w:rFonts w:cs="宋体"/>
          <w:color w:val="000000"/>
          <w:spacing w:val="11"/>
          <w:kern w:val="0"/>
          <w:sz w:val="28"/>
          <w:szCs w:val="28"/>
        </w:rPr>
      </w:pPr>
    </w:p>
    <w:p w14:paraId="430E354F">
      <w:pPr>
        <w:jc w:val="center"/>
        <w:rPr>
          <w:rFonts w:hint="eastAsia" w:ascii="宋体" w:hAnsi="宋体"/>
          <w:b/>
          <w:bCs/>
          <w:sz w:val="44"/>
          <w:szCs w:val="44"/>
        </w:rPr>
      </w:pPr>
    </w:p>
    <w:p w14:paraId="2CA96C17">
      <w:pPr>
        <w:jc w:val="center"/>
        <w:rPr>
          <w:rFonts w:hint="eastAsia" w:ascii="宋体" w:hAnsi="宋体"/>
          <w:b/>
          <w:bCs/>
          <w:sz w:val="44"/>
          <w:szCs w:val="44"/>
        </w:rPr>
      </w:pPr>
    </w:p>
    <w:p w14:paraId="4E396F1F">
      <w:pPr>
        <w:jc w:val="center"/>
        <w:rPr>
          <w:rFonts w:ascii="宋体" w:hAnsi="宋体"/>
          <w:b/>
          <w:bCs/>
          <w:sz w:val="44"/>
          <w:szCs w:val="44"/>
        </w:rPr>
      </w:pPr>
      <w:r>
        <w:rPr>
          <w:rFonts w:hint="eastAsia" w:ascii="宋体" w:hAnsi="宋体"/>
          <w:b/>
          <w:bCs/>
          <w:sz w:val="44"/>
          <w:szCs w:val="44"/>
        </w:rPr>
        <w:t>南昌市2025年上半年中小学教师资格考试</w:t>
      </w:r>
    </w:p>
    <w:p w14:paraId="15E85FB5">
      <w:pPr>
        <w:jc w:val="center"/>
        <w:rPr>
          <w:rFonts w:ascii="宋体" w:hAnsi="宋体"/>
          <w:b/>
          <w:bCs/>
          <w:sz w:val="44"/>
          <w:szCs w:val="44"/>
        </w:rPr>
      </w:pPr>
      <w:r>
        <w:rPr>
          <w:rFonts w:hint="eastAsia" w:ascii="宋体" w:hAnsi="宋体"/>
          <w:b/>
          <w:bCs/>
          <w:sz w:val="44"/>
          <w:szCs w:val="44"/>
        </w:rPr>
        <w:t>（笔试）考点地址</w:t>
      </w:r>
    </w:p>
    <w:tbl>
      <w:tblPr>
        <w:tblStyle w:val="8"/>
        <w:tblW w:w="9457" w:type="dxa"/>
        <w:jc w:val="center"/>
        <w:tblLayout w:type="fixed"/>
        <w:tblCellMar>
          <w:top w:w="0" w:type="dxa"/>
          <w:left w:w="108" w:type="dxa"/>
          <w:bottom w:w="0" w:type="dxa"/>
          <w:right w:w="108" w:type="dxa"/>
        </w:tblCellMar>
      </w:tblPr>
      <w:tblGrid>
        <w:gridCol w:w="545"/>
        <w:gridCol w:w="3959"/>
        <w:gridCol w:w="4953"/>
      </w:tblGrid>
      <w:tr w14:paraId="6B38288C">
        <w:tblPrEx>
          <w:tblCellMar>
            <w:top w:w="0" w:type="dxa"/>
            <w:left w:w="108" w:type="dxa"/>
            <w:bottom w:w="0" w:type="dxa"/>
            <w:right w:w="108" w:type="dxa"/>
          </w:tblCellMar>
        </w:tblPrEx>
        <w:trPr>
          <w:trHeight w:val="624" w:hRule="exact"/>
          <w:jc w:val="center"/>
        </w:trPr>
        <w:tc>
          <w:tcPr>
            <w:tcW w:w="545" w:type="dxa"/>
            <w:vMerge w:val="restart"/>
            <w:tcBorders>
              <w:top w:val="single" w:color="auto" w:sz="4" w:space="0"/>
              <w:left w:val="single" w:color="auto" w:sz="4" w:space="0"/>
              <w:bottom w:val="single" w:color="auto" w:sz="4" w:space="0"/>
              <w:right w:val="single" w:color="auto" w:sz="4" w:space="0"/>
            </w:tcBorders>
            <w:vAlign w:val="center"/>
          </w:tcPr>
          <w:p w14:paraId="056DE79F">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序</w:t>
            </w:r>
          </w:p>
          <w:p w14:paraId="0015F4F6">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号</w:t>
            </w:r>
          </w:p>
        </w:tc>
        <w:tc>
          <w:tcPr>
            <w:tcW w:w="3959" w:type="dxa"/>
            <w:vMerge w:val="restart"/>
            <w:tcBorders>
              <w:top w:val="single" w:color="auto" w:sz="4" w:space="0"/>
              <w:left w:val="single" w:color="auto" w:sz="4" w:space="0"/>
              <w:bottom w:val="single" w:color="auto" w:sz="4" w:space="0"/>
              <w:right w:val="single" w:color="auto" w:sz="4" w:space="0"/>
            </w:tcBorders>
            <w:vAlign w:val="center"/>
          </w:tcPr>
          <w:p w14:paraId="7037337B">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考   点</w:t>
            </w:r>
          </w:p>
        </w:tc>
        <w:tc>
          <w:tcPr>
            <w:tcW w:w="4953" w:type="dxa"/>
            <w:vMerge w:val="restart"/>
            <w:tcBorders>
              <w:top w:val="single" w:color="auto" w:sz="4" w:space="0"/>
              <w:left w:val="single" w:color="auto" w:sz="4" w:space="0"/>
              <w:bottom w:val="single" w:color="auto" w:sz="4" w:space="0"/>
              <w:right w:val="single" w:color="auto" w:sz="4" w:space="0"/>
            </w:tcBorders>
            <w:vAlign w:val="center"/>
          </w:tcPr>
          <w:p w14:paraId="280683BD">
            <w:pPr>
              <w:widowControl/>
              <w:spacing w:line="300" w:lineRule="exact"/>
              <w:jc w:val="center"/>
              <w:rPr>
                <w:rFonts w:ascii="仿宋" w:hAnsi="仿宋" w:eastAsia="仿宋" w:cs="宋体"/>
                <w:b/>
                <w:kern w:val="0"/>
                <w:sz w:val="28"/>
                <w:szCs w:val="28"/>
              </w:rPr>
            </w:pPr>
            <w:r>
              <w:rPr>
                <w:rFonts w:hint="eastAsia" w:ascii="仿宋" w:hAnsi="仿宋" w:eastAsia="仿宋" w:cs="宋体"/>
                <w:b/>
                <w:kern w:val="0"/>
                <w:sz w:val="28"/>
                <w:szCs w:val="28"/>
              </w:rPr>
              <w:t>考点地址</w:t>
            </w:r>
          </w:p>
        </w:tc>
      </w:tr>
      <w:tr w14:paraId="76C11BD7">
        <w:tblPrEx>
          <w:tblCellMar>
            <w:top w:w="0" w:type="dxa"/>
            <w:left w:w="108" w:type="dxa"/>
            <w:bottom w:w="0" w:type="dxa"/>
            <w:right w:w="108" w:type="dxa"/>
          </w:tblCellMar>
        </w:tblPrEx>
        <w:trPr>
          <w:trHeight w:val="624" w:hRule="atLeast"/>
          <w:jc w:val="center"/>
        </w:trPr>
        <w:tc>
          <w:tcPr>
            <w:tcW w:w="545" w:type="dxa"/>
            <w:vMerge w:val="continue"/>
            <w:tcBorders>
              <w:top w:val="single" w:color="auto" w:sz="4" w:space="0"/>
              <w:left w:val="single" w:color="auto" w:sz="4" w:space="0"/>
              <w:bottom w:val="single" w:color="auto" w:sz="4" w:space="0"/>
              <w:right w:val="single" w:color="auto" w:sz="4" w:space="0"/>
            </w:tcBorders>
            <w:vAlign w:val="center"/>
          </w:tcPr>
          <w:p w14:paraId="2C745277">
            <w:pPr>
              <w:widowControl/>
              <w:jc w:val="left"/>
              <w:rPr>
                <w:rFonts w:ascii="仿宋_GB2312" w:hAnsi="仿宋" w:eastAsia="仿宋_GB2312" w:cs="宋体"/>
                <w:kern w:val="0"/>
                <w:sz w:val="28"/>
                <w:szCs w:val="28"/>
              </w:rPr>
            </w:pPr>
          </w:p>
        </w:tc>
        <w:tc>
          <w:tcPr>
            <w:tcW w:w="3959" w:type="dxa"/>
            <w:vMerge w:val="continue"/>
            <w:tcBorders>
              <w:top w:val="single" w:color="auto" w:sz="4" w:space="0"/>
              <w:left w:val="single" w:color="auto" w:sz="4" w:space="0"/>
              <w:bottom w:val="single" w:color="auto" w:sz="4" w:space="0"/>
              <w:right w:val="single" w:color="auto" w:sz="4" w:space="0"/>
            </w:tcBorders>
            <w:vAlign w:val="center"/>
          </w:tcPr>
          <w:p w14:paraId="29F996E4">
            <w:pPr>
              <w:widowControl/>
              <w:jc w:val="left"/>
              <w:rPr>
                <w:rFonts w:ascii="仿宋_GB2312" w:hAnsi="仿宋" w:eastAsia="仿宋_GB2312" w:cs="宋体"/>
                <w:kern w:val="0"/>
                <w:sz w:val="28"/>
                <w:szCs w:val="28"/>
              </w:rPr>
            </w:pPr>
          </w:p>
        </w:tc>
        <w:tc>
          <w:tcPr>
            <w:tcW w:w="4953" w:type="dxa"/>
            <w:vMerge w:val="continue"/>
            <w:tcBorders>
              <w:top w:val="single" w:color="auto" w:sz="4" w:space="0"/>
              <w:left w:val="single" w:color="auto" w:sz="4" w:space="0"/>
              <w:bottom w:val="single" w:color="auto" w:sz="4" w:space="0"/>
              <w:right w:val="single" w:color="auto" w:sz="4" w:space="0"/>
            </w:tcBorders>
            <w:vAlign w:val="center"/>
          </w:tcPr>
          <w:p w14:paraId="6C5C7386">
            <w:pPr>
              <w:widowControl/>
              <w:jc w:val="left"/>
              <w:rPr>
                <w:rFonts w:ascii="仿宋_GB2312" w:hAnsi="仿宋" w:eastAsia="仿宋_GB2312" w:cs="宋体"/>
                <w:kern w:val="0"/>
                <w:sz w:val="28"/>
                <w:szCs w:val="28"/>
              </w:rPr>
            </w:pPr>
          </w:p>
        </w:tc>
      </w:tr>
      <w:tr w14:paraId="1234CD9E">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97C3AAD">
            <w:pPr>
              <w:jc w:val="center"/>
              <w:rPr>
                <w:rFonts w:ascii="仿宋" w:hAnsi="仿宋" w:eastAsia="仿宋"/>
                <w:color w:val="000000"/>
                <w:sz w:val="28"/>
                <w:szCs w:val="28"/>
              </w:rPr>
            </w:pPr>
            <w:r>
              <w:rPr>
                <w:rFonts w:ascii="仿宋" w:hAnsi="仿宋" w:eastAsia="仿宋"/>
                <w:color w:val="000000"/>
                <w:sz w:val="28"/>
                <w:szCs w:val="28"/>
              </w:rPr>
              <w:t>1</w:t>
            </w:r>
          </w:p>
        </w:tc>
        <w:tc>
          <w:tcPr>
            <w:tcW w:w="3959" w:type="dxa"/>
            <w:tcBorders>
              <w:top w:val="nil"/>
              <w:left w:val="nil"/>
              <w:bottom w:val="single" w:color="auto" w:sz="4" w:space="0"/>
              <w:right w:val="single" w:color="auto" w:sz="4" w:space="0"/>
            </w:tcBorders>
            <w:shd w:val="clear" w:color="000000" w:fill="FFFFFF"/>
            <w:vAlign w:val="center"/>
          </w:tcPr>
          <w:p w14:paraId="2F460CC3">
            <w:pPr>
              <w:jc w:val="center"/>
              <w:rPr>
                <w:rFonts w:ascii="仿宋" w:hAnsi="仿宋" w:eastAsia="仿宋"/>
                <w:color w:val="000000"/>
                <w:sz w:val="28"/>
                <w:szCs w:val="28"/>
              </w:rPr>
            </w:pPr>
            <w:r>
              <w:rPr>
                <w:rFonts w:ascii="仿宋" w:hAnsi="仿宋" w:eastAsia="仿宋"/>
                <w:color w:val="000000"/>
                <w:sz w:val="28"/>
                <w:szCs w:val="28"/>
              </w:rPr>
              <w:t>江西科技学院</w:t>
            </w:r>
          </w:p>
        </w:tc>
        <w:tc>
          <w:tcPr>
            <w:tcW w:w="4953" w:type="dxa"/>
            <w:tcBorders>
              <w:top w:val="nil"/>
              <w:left w:val="nil"/>
              <w:bottom w:val="single" w:color="auto" w:sz="4" w:space="0"/>
              <w:right w:val="single" w:color="auto" w:sz="4" w:space="0"/>
            </w:tcBorders>
            <w:vAlign w:val="center"/>
          </w:tcPr>
          <w:p w14:paraId="6572BFB9">
            <w:pPr>
              <w:snapToGrid w:val="0"/>
              <w:jc w:val="center"/>
              <w:rPr>
                <w:rFonts w:ascii="仿宋" w:hAnsi="仿宋" w:eastAsia="仿宋"/>
                <w:color w:val="000000"/>
                <w:sz w:val="28"/>
                <w:szCs w:val="28"/>
              </w:rPr>
            </w:pPr>
            <w:r>
              <w:rPr>
                <w:rFonts w:ascii="仿宋" w:hAnsi="仿宋" w:eastAsia="仿宋"/>
                <w:color w:val="000000"/>
                <w:sz w:val="28"/>
                <w:szCs w:val="28"/>
              </w:rPr>
              <w:t>南昌市紫阳大道115号</w:t>
            </w:r>
          </w:p>
        </w:tc>
      </w:tr>
      <w:tr w14:paraId="116EE007">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4E3A94C7">
            <w:pPr>
              <w:jc w:val="center"/>
              <w:rPr>
                <w:rFonts w:ascii="仿宋" w:hAnsi="仿宋" w:eastAsia="仿宋"/>
                <w:color w:val="000000"/>
                <w:sz w:val="28"/>
                <w:szCs w:val="28"/>
              </w:rPr>
            </w:pPr>
            <w:r>
              <w:rPr>
                <w:rFonts w:ascii="仿宋" w:hAnsi="仿宋" w:eastAsia="仿宋"/>
                <w:color w:val="000000"/>
                <w:sz w:val="28"/>
                <w:szCs w:val="28"/>
              </w:rPr>
              <w:t>2</w:t>
            </w:r>
          </w:p>
        </w:tc>
        <w:tc>
          <w:tcPr>
            <w:tcW w:w="3959" w:type="dxa"/>
            <w:tcBorders>
              <w:top w:val="nil"/>
              <w:left w:val="nil"/>
              <w:bottom w:val="single" w:color="auto" w:sz="4" w:space="0"/>
              <w:right w:val="single" w:color="auto" w:sz="4" w:space="0"/>
            </w:tcBorders>
            <w:shd w:val="clear" w:color="000000" w:fill="FFFFFF"/>
            <w:vAlign w:val="center"/>
          </w:tcPr>
          <w:p w14:paraId="1CDB8052">
            <w:pPr>
              <w:jc w:val="center"/>
              <w:rPr>
                <w:rFonts w:ascii="仿宋" w:hAnsi="仿宋" w:eastAsia="仿宋"/>
                <w:color w:val="000000"/>
                <w:sz w:val="28"/>
                <w:szCs w:val="28"/>
              </w:rPr>
            </w:pPr>
            <w:r>
              <w:rPr>
                <w:rFonts w:ascii="仿宋" w:hAnsi="仿宋" w:eastAsia="仿宋"/>
                <w:color w:val="000000"/>
                <w:sz w:val="28"/>
                <w:szCs w:val="28"/>
              </w:rPr>
              <w:t>南昌工学院</w:t>
            </w:r>
          </w:p>
        </w:tc>
        <w:tc>
          <w:tcPr>
            <w:tcW w:w="4953" w:type="dxa"/>
            <w:tcBorders>
              <w:top w:val="nil"/>
              <w:left w:val="nil"/>
              <w:bottom w:val="single" w:color="auto" w:sz="4" w:space="0"/>
              <w:right w:val="single" w:color="auto" w:sz="4" w:space="0"/>
            </w:tcBorders>
            <w:vAlign w:val="center"/>
          </w:tcPr>
          <w:p w14:paraId="25FCBDFC">
            <w:pPr>
              <w:snapToGrid w:val="0"/>
              <w:jc w:val="center"/>
              <w:rPr>
                <w:rFonts w:ascii="仿宋" w:hAnsi="仿宋" w:eastAsia="仿宋"/>
                <w:color w:val="000000"/>
                <w:sz w:val="28"/>
                <w:szCs w:val="28"/>
              </w:rPr>
            </w:pPr>
            <w:r>
              <w:rPr>
                <w:rFonts w:ascii="仿宋" w:hAnsi="仿宋" w:eastAsia="仿宋"/>
                <w:color w:val="000000"/>
                <w:sz w:val="28"/>
                <w:szCs w:val="28"/>
              </w:rPr>
              <w:t>南昌市红谷滩区狮子山大道998号</w:t>
            </w:r>
          </w:p>
        </w:tc>
      </w:tr>
      <w:tr w14:paraId="10758715">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6E05B6A2">
            <w:pPr>
              <w:jc w:val="center"/>
              <w:rPr>
                <w:rFonts w:ascii="仿宋" w:hAnsi="仿宋" w:eastAsia="仿宋"/>
                <w:color w:val="000000"/>
                <w:sz w:val="28"/>
                <w:szCs w:val="28"/>
              </w:rPr>
            </w:pPr>
            <w:r>
              <w:rPr>
                <w:rFonts w:ascii="仿宋" w:hAnsi="仿宋" w:eastAsia="仿宋"/>
                <w:color w:val="000000"/>
                <w:sz w:val="28"/>
                <w:szCs w:val="28"/>
              </w:rPr>
              <w:t>3</w:t>
            </w:r>
          </w:p>
        </w:tc>
        <w:tc>
          <w:tcPr>
            <w:tcW w:w="3959" w:type="dxa"/>
            <w:tcBorders>
              <w:top w:val="nil"/>
              <w:left w:val="nil"/>
              <w:bottom w:val="single" w:color="auto" w:sz="4" w:space="0"/>
              <w:right w:val="single" w:color="auto" w:sz="4" w:space="0"/>
            </w:tcBorders>
            <w:shd w:val="clear" w:color="000000" w:fill="FFFFFF"/>
            <w:vAlign w:val="center"/>
          </w:tcPr>
          <w:p w14:paraId="377C847D">
            <w:pPr>
              <w:jc w:val="center"/>
              <w:rPr>
                <w:rFonts w:ascii="仿宋" w:hAnsi="仿宋" w:eastAsia="仿宋"/>
                <w:color w:val="000000"/>
                <w:sz w:val="28"/>
                <w:szCs w:val="28"/>
              </w:rPr>
            </w:pPr>
            <w:r>
              <w:rPr>
                <w:rFonts w:ascii="仿宋" w:hAnsi="仿宋" w:eastAsia="仿宋"/>
                <w:color w:val="000000"/>
                <w:sz w:val="28"/>
                <w:szCs w:val="28"/>
              </w:rPr>
              <w:t>豫章师范学院</w:t>
            </w:r>
          </w:p>
        </w:tc>
        <w:tc>
          <w:tcPr>
            <w:tcW w:w="4953" w:type="dxa"/>
            <w:tcBorders>
              <w:top w:val="nil"/>
              <w:left w:val="nil"/>
              <w:bottom w:val="single" w:color="auto" w:sz="4" w:space="0"/>
              <w:right w:val="single" w:color="auto" w:sz="4" w:space="0"/>
            </w:tcBorders>
            <w:vAlign w:val="center"/>
          </w:tcPr>
          <w:p w14:paraId="485F2CA3">
            <w:pPr>
              <w:snapToGrid w:val="0"/>
              <w:jc w:val="center"/>
              <w:rPr>
                <w:rFonts w:ascii="仿宋" w:hAnsi="仿宋" w:eastAsia="仿宋"/>
                <w:color w:val="000000"/>
                <w:sz w:val="28"/>
                <w:szCs w:val="28"/>
              </w:rPr>
            </w:pPr>
            <w:r>
              <w:rPr>
                <w:rFonts w:ascii="仿宋" w:hAnsi="仿宋" w:eastAsia="仿宋"/>
                <w:color w:val="000000"/>
                <w:sz w:val="28"/>
                <w:szCs w:val="28"/>
              </w:rPr>
              <w:t>南昌市梅岭大道1999号</w:t>
            </w:r>
          </w:p>
        </w:tc>
      </w:tr>
      <w:tr w14:paraId="28E1ECD0">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524D1CEE">
            <w:pPr>
              <w:jc w:val="center"/>
              <w:rPr>
                <w:rFonts w:ascii="仿宋" w:hAnsi="仿宋" w:eastAsia="仿宋"/>
                <w:color w:val="000000"/>
                <w:sz w:val="28"/>
                <w:szCs w:val="28"/>
              </w:rPr>
            </w:pPr>
            <w:r>
              <w:rPr>
                <w:rFonts w:ascii="仿宋" w:hAnsi="仿宋" w:eastAsia="仿宋"/>
                <w:color w:val="000000"/>
                <w:sz w:val="28"/>
                <w:szCs w:val="28"/>
              </w:rPr>
              <w:t>4</w:t>
            </w:r>
          </w:p>
        </w:tc>
        <w:tc>
          <w:tcPr>
            <w:tcW w:w="3959" w:type="dxa"/>
            <w:tcBorders>
              <w:top w:val="nil"/>
              <w:left w:val="nil"/>
              <w:bottom w:val="single" w:color="auto" w:sz="4" w:space="0"/>
              <w:right w:val="single" w:color="auto" w:sz="4" w:space="0"/>
            </w:tcBorders>
            <w:shd w:val="clear" w:color="000000" w:fill="FFFFFF"/>
            <w:vAlign w:val="center"/>
          </w:tcPr>
          <w:p w14:paraId="7A63CB9C">
            <w:pPr>
              <w:jc w:val="center"/>
              <w:rPr>
                <w:rFonts w:ascii="仿宋" w:hAnsi="仿宋" w:eastAsia="仿宋"/>
                <w:color w:val="000000"/>
                <w:sz w:val="28"/>
                <w:szCs w:val="28"/>
              </w:rPr>
            </w:pPr>
            <w:r>
              <w:rPr>
                <w:rFonts w:ascii="仿宋" w:hAnsi="仿宋" w:eastAsia="仿宋"/>
                <w:color w:val="000000"/>
                <w:sz w:val="28"/>
                <w:szCs w:val="28"/>
              </w:rPr>
              <w:t>江西现代职业技术学院</w:t>
            </w:r>
          </w:p>
        </w:tc>
        <w:tc>
          <w:tcPr>
            <w:tcW w:w="4953" w:type="dxa"/>
            <w:tcBorders>
              <w:top w:val="nil"/>
              <w:left w:val="nil"/>
              <w:bottom w:val="single" w:color="auto" w:sz="4" w:space="0"/>
              <w:right w:val="single" w:color="auto" w:sz="4" w:space="0"/>
            </w:tcBorders>
            <w:vAlign w:val="center"/>
          </w:tcPr>
          <w:p w14:paraId="50CC303C">
            <w:pPr>
              <w:snapToGrid w:val="0"/>
              <w:jc w:val="center"/>
              <w:rPr>
                <w:rFonts w:ascii="仿宋" w:hAnsi="仿宋" w:eastAsia="仿宋"/>
                <w:color w:val="000000"/>
                <w:sz w:val="28"/>
                <w:szCs w:val="28"/>
              </w:rPr>
            </w:pPr>
            <w:r>
              <w:rPr>
                <w:rFonts w:ascii="仿宋" w:hAnsi="仿宋" w:eastAsia="仿宋"/>
                <w:color w:val="000000"/>
                <w:sz w:val="28"/>
                <w:szCs w:val="28"/>
              </w:rPr>
              <w:t>江西省南昌市紫阳大道338号</w:t>
            </w:r>
          </w:p>
        </w:tc>
      </w:tr>
      <w:tr w14:paraId="6B088D3A">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AAC8812">
            <w:pPr>
              <w:jc w:val="center"/>
              <w:rPr>
                <w:rFonts w:ascii="仿宋" w:hAnsi="仿宋" w:eastAsia="仿宋"/>
                <w:color w:val="000000"/>
                <w:sz w:val="28"/>
                <w:szCs w:val="28"/>
              </w:rPr>
            </w:pPr>
            <w:r>
              <w:rPr>
                <w:rFonts w:ascii="仿宋" w:hAnsi="仿宋" w:eastAsia="仿宋"/>
                <w:color w:val="000000"/>
                <w:sz w:val="28"/>
                <w:szCs w:val="28"/>
              </w:rPr>
              <w:t>5</w:t>
            </w:r>
          </w:p>
        </w:tc>
        <w:tc>
          <w:tcPr>
            <w:tcW w:w="3959" w:type="dxa"/>
            <w:tcBorders>
              <w:top w:val="nil"/>
              <w:left w:val="nil"/>
              <w:bottom w:val="single" w:color="auto" w:sz="4" w:space="0"/>
              <w:right w:val="single" w:color="auto" w:sz="4" w:space="0"/>
            </w:tcBorders>
            <w:shd w:val="clear" w:color="000000" w:fill="FFFFFF"/>
            <w:vAlign w:val="center"/>
          </w:tcPr>
          <w:p w14:paraId="677840C9">
            <w:pPr>
              <w:jc w:val="center"/>
              <w:rPr>
                <w:rFonts w:ascii="仿宋" w:hAnsi="仿宋" w:eastAsia="仿宋"/>
                <w:color w:val="000000"/>
                <w:sz w:val="28"/>
                <w:szCs w:val="28"/>
              </w:rPr>
            </w:pPr>
            <w:r>
              <w:rPr>
                <w:rFonts w:ascii="仿宋" w:hAnsi="仿宋" w:eastAsia="仿宋"/>
                <w:color w:val="000000"/>
                <w:sz w:val="28"/>
                <w:szCs w:val="28"/>
              </w:rPr>
              <w:t>江西生物科技职业学院</w:t>
            </w:r>
          </w:p>
        </w:tc>
        <w:tc>
          <w:tcPr>
            <w:tcW w:w="4953" w:type="dxa"/>
            <w:tcBorders>
              <w:top w:val="nil"/>
              <w:left w:val="nil"/>
              <w:bottom w:val="single" w:color="auto" w:sz="4" w:space="0"/>
              <w:right w:val="single" w:color="auto" w:sz="4" w:space="0"/>
            </w:tcBorders>
            <w:vAlign w:val="center"/>
          </w:tcPr>
          <w:p w14:paraId="4AF2677B">
            <w:pPr>
              <w:snapToGrid w:val="0"/>
              <w:jc w:val="center"/>
              <w:rPr>
                <w:rFonts w:ascii="仿宋" w:hAnsi="仿宋" w:eastAsia="仿宋"/>
                <w:color w:val="000000"/>
                <w:sz w:val="28"/>
                <w:szCs w:val="28"/>
              </w:rPr>
            </w:pPr>
            <w:r>
              <w:rPr>
                <w:rFonts w:ascii="仿宋" w:hAnsi="仿宋" w:eastAsia="仿宋"/>
                <w:color w:val="000000"/>
                <w:sz w:val="28"/>
                <w:szCs w:val="28"/>
              </w:rPr>
              <w:t>南昌县莲塘北大道1636号</w:t>
            </w:r>
          </w:p>
        </w:tc>
      </w:tr>
      <w:tr w14:paraId="2053EC0B">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0F3C42E3">
            <w:pPr>
              <w:jc w:val="center"/>
              <w:rPr>
                <w:rFonts w:ascii="仿宋" w:hAnsi="仿宋" w:eastAsia="仿宋"/>
                <w:color w:val="000000"/>
                <w:sz w:val="28"/>
                <w:szCs w:val="28"/>
              </w:rPr>
            </w:pPr>
            <w:r>
              <w:rPr>
                <w:rFonts w:ascii="仿宋" w:hAnsi="仿宋" w:eastAsia="仿宋"/>
                <w:color w:val="000000"/>
                <w:sz w:val="28"/>
                <w:szCs w:val="28"/>
              </w:rPr>
              <w:t>6</w:t>
            </w:r>
          </w:p>
        </w:tc>
        <w:tc>
          <w:tcPr>
            <w:tcW w:w="3959" w:type="dxa"/>
            <w:tcBorders>
              <w:top w:val="nil"/>
              <w:left w:val="nil"/>
              <w:bottom w:val="single" w:color="auto" w:sz="4" w:space="0"/>
              <w:right w:val="single" w:color="auto" w:sz="4" w:space="0"/>
            </w:tcBorders>
            <w:shd w:val="clear" w:color="000000" w:fill="FFFFFF"/>
            <w:vAlign w:val="center"/>
          </w:tcPr>
          <w:p w14:paraId="6715E7D1">
            <w:pPr>
              <w:jc w:val="center"/>
              <w:rPr>
                <w:rFonts w:ascii="仿宋" w:hAnsi="仿宋" w:eastAsia="仿宋"/>
                <w:color w:val="000000"/>
                <w:sz w:val="28"/>
                <w:szCs w:val="28"/>
              </w:rPr>
            </w:pPr>
            <w:r>
              <w:rPr>
                <w:rFonts w:ascii="仿宋" w:hAnsi="仿宋" w:eastAsia="仿宋"/>
                <w:color w:val="000000"/>
                <w:sz w:val="28"/>
                <w:szCs w:val="28"/>
              </w:rPr>
              <w:t>江西软件职业技术大学</w:t>
            </w:r>
          </w:p>
        </w:tc>
        <w:tc>
          <w:tcPr>
            <w:tcW w:w="4953" w:type="dxa"/>
            <w:tcBorders>
              <w:top w:val="nil"/>
              <w:left w:val="nil"/>
              <w:bottom w:val="single" w:color="auto" w:sz="4" w:space="0"/>
              <w:right w:val="single" w:color="auto" w:sz="4" w:space="0"/>
            </w:tcBorders>
            <w:vAlign w:val="center"/>
          </w:tcPr>
          <w:p w14:paraId="1D2B942E">
            <w:pPr>
              <w:snapToGrid w:val="0"/>
              <w:jc w:val="center"/>
              <w:rPr>
                <w:rFonts w:ascii="仿宋" w:hAnsi="仿宋" w:eastAsia="仿宋"/>
                <w:color w:val="000000"/>
                <w:sz w:val="28"/>
                <w:szCs w:val="28"/>
              </w:rPr>
            </w:pPr>
            <w:r>
              <w:rPr>
                <w:rFonts w:ascii="仿宋" w:hAnsi="仿宋" w:eastAsia="仿宋"/>
                <w:color w:val="000000"/>
                <w:sz w:val="28"/>
                <w:szCs w:val="28"/>
              </w:rPr>
              <w:t>南昌市</w:t>
            </w:r>
            <w:r>
              <w:rPr>
                <w:rFonts w:hint="eastAsia" w:ascii="仿宋" w:hAnsi="仿宋" w:eastAsia="仿宋"/>
                <w:color w:val="000000"/>
                <w:sz w:val="28"/>
                <w:szCs w:val="28"/>
              </w:rPr>
              <w:t>新建</w:t>
            </w:r>
            <w:r>
              <w:rPr>
                <w:rFonts w:ascii="仿宋" w:hAnsi="仿宋" w:eastAsia="仿宋"/>
                <w:color w:val="000000"/>
                <w:sz w:val="28"/>
                <w:szCs w:val="28"/>
              </w:rPr>
              <w:t>区罗亭镇江西软件职业技术大学</w:t>
            </w:r>
          </w:p>
        </w:tc>
      </w:tr>
      <w:tr w14:paraId="69D67A16">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vAlign w:val="center"/>
          </w:tcPr>
          <w:p w14:paraId="4FD6D982">
            <w:pPr>
              <w:jc w:val="center"/>
              <w:rPr>
                <w:rFonts w:ascii="仿宋" w:hAnsi="仿宋" w:eastAsia="仿宋"/>
                <w:color w:val="000000"/>
                <w:sz w:val="28"/>
                <w:szCs w:val="28"/>
              </w:rPr>
            </w:pPr>
            <w:r>
              <w:rPr>
                <w:rFonts w:ascii="仿宋" w:hAnsi="仿宋" w:eastAsia="仿宋"/>
                <w:color w:val="000000"/>
                <w:sz w:val="28"/>
                <w:szCs w:val="28"/>
              </w:rPr>
              <w:t>7</w:t>
            </w:r>
          </w:p>
        </w:tc>
        <w:tc>
          <w:tcPr>
            <w:tcW w:w="3959" w:type="dxa"/>
            <w:tcBorders>
              <w:top w:val="nil"/>
              <w:left w:val="nil"/>
              <w:bottom w:val="single" w:color="auto" w:sz="4" w:space="0"/>
              <w:right w:val="single" w:color="auto" w:sz="4" w:space="0"/>
            </w:tcBorders>
            <w:vAlign w:val="center"/>
          </w:tcPr>
          <w:p w14:paraId="66B1A4A3">
            <w:pPr>
              <w:jc w:val="center"/>
              <w:rPr>
                <w:rFonts w:ascii="仿宋" w:hAnsi="仿宋" w:eastAsia="仿宋"/>
                <w:color w:val="000000"/>
                <w:sz w:val="28"/>
                <w:szCs w:val="28"/>
              </w:rPr>
            </w:pPr>
            <w:r>
              <w:rPr>
                <w:rFonts w:ascii="仿宋" w:hAnsi="仿宋" w:eastAsia="仿宋"/>
                <w:color w:val="000000"/>
                <w:sz w:val="28"/>
                <w:szCs w:val="28"/>
              </w:rPr>
              <w:t>江西应用科技学院</w:t>
            </w:r>
          </w:p>
        </w:tc>
        <w:tc>
          <w:tcPr>
            <w:tcW w:w="4953" w:type="dxa"/>
            <w:tcBorders>
              <w:top w:val="nil"/>
              <w:left w:val="nil"/>
              <w:bottom w:val="single" w:color="auto" w:sz="4" w:space="0"/>
              <w:right w:val="single" w:color="auto" w:sz="4" w:space="0"/>
            </w:tcBorders>
            <w:vAlign w:val="center"/>
          </w:tcPr>
          <w:p w14:paraId="14F14361">
            <w:pPr>
              <w:snapToGrid w:val="0"/>
              <w:jc w:val="center"/>
              <w:rPr>
                <w:rFonts w:ascii="仿宋" w:hAnsi="仿宋" w:eastAsia="仿宋"/>
                <w:color w:val="000000"/>
                <w:sz w:val="28"/>
                <w:szCs w:val="28"/>
              </w:rPr>
            </w:pPr>
            <w:r>
              <w:rPr>
                <w:rFonts w:ascii="仿宋" w:hAnsi="仿宋" w:eastAsia="仿宋"/>
                <w:color w:val="000000"/>
                <w:sz w:val="28"/>
                <w:szCs w:val="28"/>
              </w:rPr>
              <w:t>南昌市新建区宏福大道2888号</w:t>
            </w:r>
          </w:p>
        </w:tc>
      </w:tr>
      <w:tr w14:paraId="3EF11FE9">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231FA5BD">
            <w:pPr>
              <w:jc w:val="center"/>
              <w:rPr>
                <w:rFonts w:ascii="仿宋" w:hAnsi="仿宋" w:eastAsia="仿宋"/>
                <w:color w:val="000000"/>
                <w:sz w:val="28"/>
                <w:szCs w:val="28"/>
              </w:rPr>
            </w:pPr>
            <w:r>
              <w:rPr>
                <w:rFonts w:ascii="仿宋" w:hAnsi="仿宋" w:eastAsia="仿宋"/>
                <w:color w:val="000000"/>
                <w:sz w:val="28"/>
                <w:szCs w:val="28"/>
              </w:rPr>
              <w:t>8</w:t>
            </w:r>
          </w:p>
        </w:tc>
        <w:tc>
          <w:tcPr>
            <w:tcW w:w="3959" w:type="dxa"/>
            <w:tcBorders>
              <w:top w:val="nil"/>
              <w:left w:val="nil"/>
              <w:bottom w:val="single" w:color="auto" w:sz="4" w:space="0"/>
              <w:right w:val="single" w:color="auto" w:sz="4" w:space="0"/>
            </w:tcBorders>
            <w:shd w:val="clear" w:color="000000" w:fill="FFFFFF"/>
            <w:vAlign w:val="center"/>
          </w:tcPr>
          <w:p w14:paraId="77826016">
            <w:pPr>
              <w:snapToGrid w:val="0"/>
              <w:jc w:val="center"/>
              <w:rPr>
                <w:rFonts w:ascii="仿宋" w:hAnsi="仿宋" w:eastAsia="仿宋"/>
                <w:color w:val="000000"/>
                <w:sz w:val="28"/>
                <w:szCs w:val="28"/>
              </w:rPr>
            </w:pPr>
            <w:r>
              <w:rPr>
                <w:rFonts w:ascii="仿宋" w:hAnsi="仿宋" w:eastAsia="仿宋"/>
                <w:color w:val="000000"/>
                <w:sz w:val="28"/>
                <w:szCs w:val="28"/>
              </w:rPr>
              <w:t>南昌大学前湖校区（南院）医学院</w:t>
            </w:r>
          </w:p>
        </w:tc>
        <w:tc>
          <w:tcPr>
            <w:tcW w:w="4953" w:type="dxa"/>
            <w:tcBorders>
              <w:top w:val="nil"/>
              <w:left w:val="nil"/>
              <w:bottom w:val="single" w:color="auto" w:sz="4" w:space="0"/>
              <w:right w:val="single" w:color="auto" w:sz="4" w:space="0"/>
            </w:tcBorders>
            <w:vAlign w:val="center"/>
          </w:tcPr>
          <w:p w14:paraId="66EA7CDE">
            <w:pPr>
              <w:snapToGrid w:val="0"/>
              <w:jc w:val="center"/>
              <w:rPr>
                <w:rFonts w:ascii="仿宋" w:hAnsi="仿宋" w:eastAsia="仿宋"/>
                <w:color w:val="000000"/>
                <w:sz w:val="28"/>
                <w:szCs w:val="28"/>
              </w:rPr>
            </w:pPr>
            <w:r>
              <w:rPr>
                <w:rFonts w:ascii="仿宋" w:hAnsi="仿宋" w:eastAsia="仿宋"/>
                <w:color w:val="000000"/>
                <w:sz w:val="28"/>
                <w:szCs w:val="28"/>
              </w:rPr>
              <w:t>红谷滩区学府大道1299号第一教学大楼、第二教学大楼</w:t>
            </w:r>
          </w:p>
        </w:tc>
      </w:tr>
      <w:tr w14:paraId="1F32D52A">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0FDE415B">
            <w:pPr>
              <w:jc w:val="center"/>
              <w:rPr>
                <w:rFonts w:ascii="仿宋" w:hAnsi="仿宋" w:eastAsia="仿宋"/>
                <w:color w:val="000000"/>
                <w:sz w:val="28"/>
                <w:szCs w:val="28"/>
              </w:rPr>
            </w:pPr>
            <w:r>
              <w:rPr>
                <w:rFonts w:ascii="仿宋" w:hAnsi="仿宋" w:eastAsia="仿宋"/>
                <w:color w:val="000000"/>
                <w:sz w:val="28"/>
                <w:szCs w:val="28"/>
              </w:rPr>
              <w:t>9</w:t>
            </w:r>
          </w:p>
        </w:tc>
        <w:tc>
          <w:tcPr>
            <w:tcW w:w="3959" w:type="dxa"/>
            <w:tcBorders>
              <w:top w:val="nil"/>
              <w:left w:val="nil"/>
              <w:bottom w:val="single" w:color="auto" w:sz="4" w:space="0"/>
              <w:right w:val="single" w:color="auto" w:sz="4" w:space="0"/>
            </w:tcBorders>
            <w:shd w:val="clear" w:color="000000" w:fill="FFFFFF"/>
            <w:vAlign w:val="center"/>
          </w:tcPr>
          <w:p w14:paraId="5F3E0813">
            <w:pPr>
              <w:snapToGrid w:val="0"/>
              <w:jc w:val="center"/>
              <w:rPr>
                <w:rFonts w:ascii="仿宋" w:hAnsi="仿宋" w:eastAsia="仿宋"/>
                <w:color w:val="000000"/>
                <w:sz w:val="28"/>
                <w:szCs w:val="28"/>
              </w:rPr>
            </w:pPr>
            <w:r>
              <w:rPr>
                <w:rFonts w:ascii="仿宋" w:hAnsi="仿宋" w:eastAsia="仿宋"/>
                <w:color w:val="000000"/>
                <w:sz w:val="28"/>
                <w:szCs w:val="28"/>
              </w:rPr>
              <w:t>南昌大学前湖校区（北院）慧源楼</w:t>
            </w:r>
          </w:p>
        </w:tc>
        <w:tc>
          <w:tcPr>
            <w:tcW w:w="4953" w:type="dxa"/>
            <w:tcBorders>
              <w:top w:val="nil"/>
              <w:left w:val="nil"/>
              <w:bottom w:val="single" w:color="auto" w:sz="4" w:space="0"/>
              <w:right w:val="single" w:color="auto" w:sz="4" w:space="0"/>
            </w:tcBorders>
            <w:vAlign w:val="center"/>
          </w:tcPr>
          <w:p w14:paraId="1866575A">
            <w:pPr>
              <w:snapToGrid w:val="0"/>
              <w:jc w:val="center"/>
              <w:rPr>
                <w:rFonts w:ascii="仿宋" w:hAnsi="仿宋" w:eastAsia="仿宋"/>
                <w:color w:val="000000"/>
                <w:sz w:val="28"/>
                <w:szCs w:val="28"/>
              </w:rPr>
            </w:pPr>
            <w:r>
              <w:rPr>
                <w:rFonts w:ascii="仿宋" w:hAnsi="仿宋" w:eastAsia="仿宋"/>
                <w:color w:val="000000"/>
                <w:sz w:val="28"/>
                <w:szCs w:val="28"/>
              </w:rPr>
              <w:t>红谷滩区学府大道999号慧源楼</w:t>
            </w:r>
          </w:p>
        </w:tc>
      </w:tr>
      <w:tr w14:paraId="4BB0F52E">
        <w:tblPrEx>
          <w:tblCellMar>
            <w:top w:w="0" w:type="dxa"/>
            <w:left w:w="108" w:type="dxa"/>
            <w:bottom w:w="0" w:type="dxa"/>
            <w:right w:w="108" w:type="dxa"/>
          </w:tblCellMar>
        </w:tblPrEx>
        <w:trPr>
          <w:trHeight w:val="567" w:hRule="atLeast"/>
          <w:jc w:val="center"/>
        </w:trPr>
        <w:tc>
          <w:tcPr>
            <w:tcW w:w="545" w:type="dxa"/>
            <w:tcBorders>
              <w:top w:val="nil"/>
              <w:left w:val="single" w:color="auto" w:sz="4" w:space="0"/>
              <w:bottom w:val="single" w:color="auto" w:sz="4" w:space="0"/>
              <w:right w:val="single" w:color="auto" w:sz="4" w:space="0"/>
            </w:tcBorders>
            <w:shd w:val="clear" w:color="auto" w:fill="auto"/>
            <w:vAlign w:val="center"/>
          </w:tcPr>
          <w:p w14:paraId="5E804290">
            <w:pPr>
              <w:jc w:val="center"/>
              <w:rPr>
                <w:rFonts w:ascii="仿宋" w:hAnsi="仿宋" w:eastAsia="仿宋"/>
                <w:color w:val="000000"/>
                <w:sz w:val="28"/>
                <w:szCs w:val="28"/>
              </w:rPr>
            </w:pPr>
            <w:r>
              <w:rPr>
                <w:rFonts w:ascii="仿宋" w:hAnsi="仿宋" w:eastAsia="仿宋"/>
                <w:color w:val="000000"/>
                <w:sz w:val="28"/>
                <w:szCs w:val="28"/>
              </w:rPr>
              <w:t>10</w:t>
            </w:r>
          </w:p>
        </w:tc>
        <w:tc>
          <w:tcPr>
            <w:tcW w:w="3959" w:type="dxa"/>
            <w:tcBorders>
              <w:top w:val="nil"/>
              <w:left w:val="nil"/>
              <w:bottom w:val="single" w:color="auto" w:sz="4" w:space="0"/>
              <w:right w:val="single" w:color="auto" w:sz="4" w:space="0"/>
            </w:tcBorders>
            <w:shd w:val="clear" w:color="000000" w:fill="FFFFFF"/>
            <w:vAlign w:val="center"/>
          </w:tcPr>
          <w:p w14:paraId="4C5C05EB">
            <w:pPr>
              <w:snapToGrid w:val="0"/>
              <w:jc w:val="center"/>
              <w:rPr>
                <w:rFonts w:ascii="仿宋" w:hAnsi="仿宋" w:eastAsia="仿宋"/>
                <w:color w:val="000000"/>
                <w:sz w:val="28"/>
                <w:szCs w:val="28"/>
              </w:rPr>
            </w:pPr>
            <w:r>
              <w:rPr>
                <w:rFonts w:ascii="仿宋" w:hAnsi="仿宋" w:eastAsia="仿宋"/>
                <w:color w:val="000000"/>
                <w:sz w:val="28"/>
                <w:szCs w:val="28"/>
              </w:rPr>
              <w:t>南昌大学前湖校区（北院）机电楼</w:t>
            </w:r>
          </w:p>
        </w:tc>
        <w:tc>
          <w:tcPr>
            <w:tcW w:w="4953" w:type="dxa"/>
            <w:tcBorders>
              <w:top w:val="nil"/>
              <w:left w:val="nil"/>
              <w:bottom w:val="single" w:color="auto" w:sz="4" w:space="0"/>
              <w:right w:val="single" w:color="auto" w:sz="4" w:space="0"/>
            </w:tcBorders>
            <w:vAlign w:val="center"/>
          </w:tcPr>
          <w:p w14:paraId="15A1B017">
            <w:pPr>
              <w:snapToGrid w:val="0"/>
              <w:jc w:val="center"/>
              <w:rPr>
                <w:rFonts w:ascii="仿宋" w:hAnsi="仿宋" w:eastAsia="仿宋"/>
                <w:color w:val="000000"/>
                <w:sz w:val="28"/>
                <w:szCs w:val="28"/>
              </w:rPr>
            </w:pPr>
            <w:r>
              <w:rPr>
                <w:rFonts w:ascii="仿宋" w:hAnsi="仿宋" w:eastAsia="仿宋"/>
                <w:color w:val="000000"/>
                <w:sz w:val="28"/>
                <w:szCs w:val="28"/>
              </w:rPr>
              <w:t>红谷滩区学府大道999号机电楼</w:t>
            </w:r>
          </w:p>
        </w:tc>
      </w:tr>
    </w:tbl>
    <w:p w14:paraId="4E0B15E0">
      <w:pPr>
        <w:jc w:val="center"/>
        <w:rPr>
          <w:rFonts w:ascii="宋体" w:hAnsi="宋体"/>
          <w:b/>
          <w:bCs/>
          <w:sz w:val="44"/>
          <w:szCs w:val="44"/>
        </w:rPr>
      </w:pPr>
    </w:p>
    <w:p w14:paraId="63775360">
      <w:pPr>
        <w:rPr>
          <w:rFonts w:ascii="仿宋" w:hAnsi="仿宋" w:eastAsia="仿宋"/>
          <w:sz w:val="32"/>
          <w:szCs w:val="32"/>
        </w:rPr>
      </w:pPr>
    </w:p>
    <w:p w14:paraId="68E1E450">
      <w:pPr>
        <w:rPr>
          <w:rFonts w:hint="eastAsia" w:ascii="仿宋" w:hAnsi="仿宋" w:eastAsia="仿宋"/>
          <w:sz w:val="32"/>
          <w:szCs w:val="32"/>
        </w:rPr>
      </w:pPr>
      <w:r>
        <w:rPr>
          <w:rFonts w:hint="eastAsia" w:ascii="仿宋" w:hAnsi="仿宋" w:eastAsia="仿宋"/>
          <w:sz w:val="32"/>
          <w:szCs w:val="32"/>
        </w:rPr>
        <w:t xml:space="preserve">祝各位考生取得理想成绩！  </w:t>
      </w:r>
    </w:p>
    <w:p w14:paraId="24F7F45B">
      <w:pPr>
        <w:rPr>
          <w:rFonts w:ascii="仿宋" w:hAnsi="仿宋" w:eastAsia="仿宋"/>
          <w:sz w:val="32"/>
          <w:szCs w:val="32"/>
        </w:rPr>
      </w:pPr>
    </w:p>
    <w:p w14:paraId="39177971">
      <w:pPr>
        <w:rPr>
          <w:rFonts w:ascii="仿宋" w:hAnsi="仿宋" w:eastAsia="仿宋"/>
          <w:sz w:val="32"/>
          <w:szCs w:val="32"/>
        </w:rPr>
      </w:pPr>
      <w:r>
        <w:rPr>
          <w:rFonts w:hint="eastAsia" w:ascii="仿宋" w:hAnsi="仿宋" w:eastAsia="仿宋"/>
          <w:sz w:val="32"/>
          <w:szCs w:val="32"/>
        </w:rPr>
        <w:t xml:space="preserve">                               南昌</w:t>
      </w:r>
      <w:r>
        <w:rPr>
          <w:rFonts w:ascii="仿宋" w:hAnsi="仿宋" w:eastAsia="仿宋"/>
          <w:sz w:val="32"/>
          <w:szCs w:val="32"/>
        </w:rPr>
        <w:t>市教育考试</w:t>
      </w:r>
      <w:r>
        <w:rPr>
          <w:rFonts w:hint="eastAsia" w:ascii="仿宋" w:hAnsi="仿宋" w:eastAsia="仿宋"/>
          <w:sz w:val="32"/>
          <w:szCs w:val="32"/>
        </w:rPr>
        <w:t>院</w:t>
      </w:r>
    </w:p>
    <w:p w14:paraId="79A7723F">
      <w:pPr>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bookmarkStart w:id="0" w:name="_GoBack"/>
      <w:bookmarkEnd w:id="0"/>
      <w:r>
        <w:rPr>
          <w:rFonts w:hint="eastAsia" w:ascii="仿宋" w:hAnsi="仿宋" w:eastAsia="仿宋"/>
          <w:sz w:val="32"/>
          <w:szCs w:val="32"/>
        </w:rPr>
        <w:t xml:space="preserve">       </w:t>
      </w: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年</w:t>
      </w:r>
      <w:r>
        <w:rPr>
          <w:rFonts w:hint="eastAsia" w:ascii="仿宋" w:hAnsi="仿宋" w:eastAsia="仿宋"/>
          <w:sz w:val="32"/>
          <w:szCs w:val="32"/>
        </w:rPr>
        <w:t>3</w:t>
      </w:r>
      <w:r>
        <w:rPr>
          <w:rFonts w:ascii="仿宋" w:hAnsi="仿宋" w:eastAsia="仿宋"/>
          <w:sz w:val="32"/>
          <w:szCs w:val="32"/>
        </w:rPr>
        <w:t>月</w:t>
      </w:r>
      <w:r>
        <w:rPr>
          <w:rFonts w:hint="eastAsia" w:ascii="仿宋" w:hAnsi="仿宋" w:eastAsia="仿宋"/>
          <w:sz w:val="32"/>
          <w:szCs w:val="32"/>
          <w:lang w:val="en-US" w:eastAsia="zh-CN"/>
        </w:rPr>
        <w:t>4</w:t>
      </w:r>
      <w:r>
        <w:rPr>
          <w:rFonts w:ascii="仿宋" w:hAnsi="仿宋" w:eastAsia="仿宋"/>
          <w:sz w:val="32"/>
          <w:szCs w:val="32"/>
        </w:rPr>
        <w:t>日</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F5"/>
    <w:rsid w:val="00023FD0"/>
    <w:rsid w:val="000F287B"/>
    <w:rsid w:val="000F434A"/>
    <w:rsid w:val="00162E48"/>
    <w:rsid w:val="00206491"/>
    <w:rsid w:val="004F10BD"/>
    <w:rsid w:val="00557DF5"/>
    <w:rsid w:val="005E6831"/>
    <w:rsid w:val="00656DC8"/>
    <w:rsid w:val="006A5455"/>
    <w:rsid w:val="00752C7C"/>
    <w:rsid w:val="0082251C"/>
    <w:rsid w:val="008B7BCE"/>
    <w:rsid w:val="008E084B"/>
    <w:rsid w:val="0092712B"/>
    <w:rsid w:val="00A14DFC"/>
    <w:rsid w:val="00A6644F"/>
    <w:rsid w:val="00B3228E"/>
    <w:rsid w:val="00B450D8"/>
    <w:rsid w:val="00B70372"/>
    <w:rsid w:val="00B75ED5"/>
    <w:rsid w:val="00C37139"/>
    <w:rsid w:val="00C552A8"/>
    <w:rsid w:val="00C61939"/>
    <w:rsid w:val="00CB0CBC"/>
    <w:rsid w:val="00CE6CF9"/>
    <w:rsid w:val="00D00ABC"/>
    <w:rsid w:val="00EE573E"/>
    <w:rsid w:val="0CBF62AC"/>
    <w:rsid w:val="729F0FEB"/>
    <w:rsid w:val="7BD65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4"/>
    <w:qFormat/>
    <w:uiPriority w:val="99"/>
    <w:pPr>
      <w:spacing w:line="400" w:lineRule="exact"/>
      <w:ind w:left="475" w:hanging="475" w:hangingChars="198"/>
    </w:pPr>
    <w:rPr>
      <w:rFonts w:ascii="宋体" w:hAnsi="宋体" w:eastAsia="宋体" w:cs="Times New Roman"/>
      <w:sz w:val="24"/>
      <w:szCs w:val="24"/>
    </w:rPr>
  </w:style>
  <w:style w:type="paragraph" w:styleId="5">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页眉 Char"/>
    <w:basedOn w:val="9"/>
    <w:link w:val="6"/>
    <w:semiHidden/>
    <w:uiPriority w:val="99"/>
    <w:rPr>
      <w:sz w:val="18"/>
      <w:szCs w:val="18"/>
    </w:rPr>
  </w:style>
  <w:style w:type="character" w:customStyle="1" w:styleId="13">
    <w:name w:val="页脚 Char"/>
    <w:basedOn w:val="9"/>
    <w:link w:val="5"/>
    <w:semiHidden/>
    <w:qFormat/>
    <w:uiPriority w:val="99"/>
    <w:rPr>
      <w:sz w:val="18"/>
      <w:szCs w:val="18"/>
    </w:rPr>
  </w:style>
  <w:style w:type="character" w:customStyle="1" w:styleId="14">
    <w:name w:val="正文文本缩进 Char"/>
    <w:basedOn w:val="9"/>
    <w:link w:val="4"/>
    <w:qFormat/>
    <w:uiPriority w:val="99"/>
    <w:rPr>
      <w:rFonts w:ascii="宋体" w:hAnsi="宋体" w:eastAsia="宋体" w:cs="Times New Roman"/>
      <w:sz w:val="24"/>
      <w:szCs w:val="24"/>
    </w:rPr>
  </w:style>
  <w:style w:type="character" w:customStyle="1" w:styleId="15">
    <w:name w:val="一级目录新 Char"/>
    <w:basedOn w:val="9"/>
    <w:link w:val="16"/>
    <w:qFormat/>
    <w:uiPriority w:val="0"/>
    <w:rPr>
      <w:rFonts w:ascii="黑体" w:eastAsia="黑体"/>
      <w:sz w:val="32"/>
    </w:rPr>
  </w:style>
  <w:style w:type="paragraph" w:customStyle="1" w:styleId="16">
    <w:name w:val="一级目录新"/>
    <w:basedOn w:val="1"/>
    <w:link w:val="15"/>
    <w:qFormat/>
    <w:uiPriority w:val="0"/>
    <w:pPr>
      <w:outlineLvl w:val="0"/>
    </w:pPr>
    <w:rPr>
      <w:rFonts w:ascii="黑体" w:eastAsia="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1641</Words>
  <Characters>1734</Characters>
  <Lines>14</Lines>
  <Paragraphs>3</Paragraphs>
  <TotalTime>17</TotalTime>
  <ScaleCrop>false</ScaleCrop>
  <LinksUpToDate>false</LinksUpToDate>
  <CharactersWithSpaces>1812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2025-03-03T01:51:00Z</dcterms:created>
  <dc:creator>Microsoft</dc:creator>
  <cp:lastModifiedBy>昱Yu</cp:lastModifiedBy>
  <cp:lastPrinted>2024-09-11T03:04:00Z</cp:lastPrinted>
  <dcterms:modified xsi:type="dcterms:W3CDTF">2025-03-04T11:12:23Z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eyJoZGlkIjoiZTUzNWE2Mjk3MjZjZjcxZGEzZjFmMzRmZjgwNGU5NGEiLCJ1c2VySWQiOiIzNjU0NDQ1NzIifQ==</vt:lpwstr>
  </property>
  <property fmtid="{D5CDD505-2E9C-101B-9397-08002B2CF9AE}" pid="3" name="KSOProductBuildVer">
    <vt:lpwstr>2052-12.1.0.20305</vt:lpwstr>
  </property>
  <property fmtid="{D5CDD505-2E9C-101B-9397-08002B2CF9AE}" pid="4" name="ICV">
    <vt:lpwstr>5D1B74DED59240AB8069D60038076749_13</vt:lpwstr>
  </property>
</Properties>
</file>